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s="宋体"/>
          <w:b/>
          <w:bCs/>
          <w:color w:val="000000"/>
          <w:sz w:val="36"/>
          <w:szCs w:val="36"/>
        </w:rPr>
      </w:pPr>
      <w:r>
        <w:rPr>
          <w:rFonts w:hint="eastAsia" w:ascii="华文中宋" w:hAnsi="华文中宋" w:eastAsia="华文中宋" w:cs="宋体"/>
          <w:b/>
          <w:bCs/>
          <w:color w:val="000000"/>
          <w:sz w:val="36"/>
          <w:szCs w:val="36"/>
        </w:rPr>
        <w:t>华润云庭住宅</w:t>
      </w:r>
      <w:r>
        <w:rPr>
          <w:rFonts w:hint="eastAsia" w:ascii="华文中宋" w:hAnsi="华文中宋" w:eastAsia="华文中宋"/>
          <w:b/>
          <w:sz w:val="36"/>
          <w:szCs w:val="36"/>
        </w:rPr>
        <w:t>购房登记规则</w:t>
      </w:r>
    </w:p>
    <w:p>
      <w:pPr>
        <w:spacing w:line="360" w:lineRule="auto"/>
        <w:ind w:firstLine="560" w:firstLineChars="200"/>
        <w:rPr>
          <w:rFonts w:ascii="仿宋" w:hAnsi="仿宋" w:eastAsia="仿宋"/>
          <w:sz w:val="28"/>
          <w:szCs w:val="28"/>
        </w:rPr>
      </w:pPr>
      <w:bookmarkStart w:id="0" w:name="_Toc500607456"/>
      <w:r>
        <w:rPr>
          <w:rFonts w:hint="eastAsia" w:ascii="仿宋" w:hAnsi="仿宋" w:eastAsia="仿宋"/>
          <w:sz w:val="28"/>
          <w:szCs w:val="28"/>
        </w:rPr>
        <w:t>根据成都市房管局、司法局印发的《关于商品住房开盘销售采用公证摇号排序选房有关事宜</w:t>
      </w:r>
      <w:r>
        <w:rPr>
          <w:rFonts w:ascii="仿宋" w:hAnsi="仿宋" w:eastAsia="仿宋"/>
          <w:sz w:val="28"/>
          <w:szCs w:val="28"/>
        </w:rPr>
        <w:t>的通知</w:t>
      </w:r>
      <w:r>
        <w:rPr>
          <w:rFonts w:hint="eastAsia" w:ascii="仿宋" w:hAnsi="仿宋" w:eastAsia="仿宋"/>
          <w:sz w:val="28"/>
          <w:szCs w:val="28"/>
        </w:rPr>
        <w:t>》（成房发[2017]</w:t>
      </w:r>
      <w:r>
        <w:rPr>
          <w:rFonts w:ascii="仿宋" w:hAnsi="仿宋" w:eastAsia="仿宋"/>
          <w:sz w:val="28"/>
          <w:szCs w:val="28"/>
        </w:rPr>
        <w:t>137号</w:t>
      </w:r>
      <w:r>
        <w:rPr>
          <w:rFonts w:hint="eastAsia" w:ascii="仿宋" w:hAnsi="仿宋" w:eastAsia="仿宋"/>
          <w:sz w:val="28"/>
          <w:szCs w:val="28"/>
        </w:rPr>
        <w:t>）和成都市公证协会印发的《成都市公证协会关于办理商品住房开盘销售摇号排序选房现场监督公证及相关保全证据公证的指导意见》以及《成都住宅与房地产业协会关于印发&lt;成都市商品住房购房登记规则指引（试行）&gt;和&lt;成都市商品住房公证摇号选房规则指引&gt;的通知》相关要求，制定我公司华润云庭项目的购房登记规则。请有意向购买我公司该项目住房的购房人，按照以下规则进行购房登记：</w:t>
      </w:r>
      <w:bookmarkEnd w:id="0"/>
      <w:bookmarkStart w:id="1" w:name="_Toc500607457"/>
    </w:p>
    <w:p>
      <w:pPr>
        <w:pStyle w:val="21"/>
        <w:numPr>
          <w:ilvl w:val="0"/>
          <w:numId w:val="1"/>
        </w:numPr>
        <w:spacing w:line="360" w:lineRule="auto"/>
        <w:ind w:firstLineChars="0"/>
        <w:rPr>
          <w:rFonts w:ascii="仿宋" w:hAnsi="仿宋" w:eastAsia="仿宋"/>
          <w:b/>
          <w:sz w:val="32"/>
          <w:szCs w:val="28"/>
        </w:rPr>
      </w:pPr>
      <w:r>
        <w:rPr>
          <w:rFonts w:hint="eastAsia" w:ascii="仿宋" w:hAnsi="仿宋" w:eastAsia="仿宋"/>
          <w:b/>
          <w:sz w:val="32"/>
          <w:szCs w:val="28"/>
        </w:rPr>
        <w:t>房源状况及分配情况</w:t>
      </w:r>
    </w:p>
    <w:p>
      <w:pPr>
        <w:spacing w:line="360" w:lineRule="auto"/>
        <w:ind w:firstLine="560" w:firstLineChars="200"/>
        <w:rPr>
          <w:rFonts w:ascii="仿宋" w:hAnsi="仿宋" w:eastAsia="仿宋"/>
          <w:b/>
          <w:sz w:val="32"/>
          <w:szCs w:val="28"/>
        </w:rPr>
      </w:pPr>
      <w:r>
        <w:rPr>
          <w:rFonts w:hint="eastAsia" w:ascii="仿宋" w:hAnsi="仿宋" w:eastAsia="仿宋"/>
          <w:sz w:val="28"/>
          <w:szCs w:val="28"/>
        </w:rPr>
        <w:t>本次公证摇号开盘销售的全部准售房源共1290套，面积约149487.39m</w:t>
      </w:r>
      <w:r>
        <w:rPr>
          <w:rFonts w:ascii="仿宋" w:hAnsi="仿宋" w:eastAsia="仿宋"/>
          <w:sz w:val="28"/>
          <w:szCs w:val="28"/>
          <w:vertAlign w:val="superscript"/>
        </w:rPr>
        <w:t>2</w:t>
      </w:r>
      <w:r>
        <w:rPr>
          <w:rFonts w:hint="eastAsia" w:ascii="仿宋" w:hAnsi="仿宋" w:eastAsia="仿宋"/>
          <w:sz w:val="28"/>
          <w:szCs w:val="28"/>
        </w:rPr>
        <w:t>，其中115 m</w:t>
      </w:r>
      <w:r>
        <w:rPr>
          <w:rFonts w:ascii="仿宋" w:hAnsi="仿宋" w:eastAsia="仿宋"/>
          <w:sz w:val="28"/>
          <w:szCs w:val="28"/>
          <w:vertAlign w:val="superscript"/>
        </w:rPr>
        <w:t>2</w:t>
      </w:r>
      <w:r>
        <w:rPr>
          <w:rFonts w:hint="eastAsia" w:ascii="仿宋" w:hAnsi="仿宋" w:eastAsia="仿宋"/>
          <w:sz w:val="28"/>
          <w:szCs w:val="28"/>
        </w:rPr>
        <w:t>、155 m</w:t>
      </w:r>
      <w:r>
        <w:rPr>
          <w:rFonts w:ascii="仿宋" w:hAnsi="仿宋" w:eastAsia="仿宋"/>
          <w:sz w:val="28"/>
          <w:szCs w:val="28"/>
          <w:vertAlign w:val="superscript"/>
        </w:rPr>
        <w:t>2</w:t>
      </w:r>
      <w:r>
        <w:rPr>
          <w:rFonts w:hint="eastAsia" w:ascii="仿宋" w:hAnsi="仿宋" w:eastAsia="仿宋"/>
          <w:sz w:val="28"/>
          <w:szCs w:val="28"/>
        </w:rPr>
        <w:t>、1</w:t>
      </w:r>
      <w:r>
        <w:rPr>
          <w:rFonts w:ascii="仿宋" w:hAnsi="仿宋" w:eastAsia="仿宋"/>
          <w:sz w:val="28"/>
          <w:szCs w:val="28"/>
        </w:rPr>
        <w:t>58</w:t>
      </w:r>
      <w:r>
        <w:rPr>
          <w:rFonts w:hint="eastAsia" w:ascii="仿宋" w:hAnsi="仿宋" w:eastAsia="仿宋"/>
          <w:sz w:val="28"/>
          <w:szCs w:val="28"/>
        </w:rPr>
        <w:t xml:space="preserve"> m</w:t>
      </w:r>
      <w:r>
        <w:rPr>
          <w:rFonts w:ascii="仿宋" w:hAnsi="仿宋" w:eastAsia="仿宋"/>
          <w:sz w:val="28"/>
          <w:szCs w:val="28"/>
          <w:vertAlign w:val="superscript"/>
        </w:rPr>
        <w:t>2</w:t>
      </w:r>
      <w:r>
        <w:rPr>
          <w:rFonts w:hint="eastAsia" w:ascii="仿宋" w:hAnsi="仿宋" w:eastAsia="仿宋"/>
          <w:sz w:val="28"/>
          <w:szCs w:val="28"/>
        </w:rPr>
        <w:t>、214 m</w:t>
      </w:r>
      <w:r>
        <w:rPr>
          <w:rFonts w:ascii="仿宋" w:hAnsi="仿宋" w:eastAsia="仿宋"/>
          <w:sz w:val="28"/>
          <w:szCs w:val="28"/>
          <w:vertAlign w:val="superscript"/>
        </w:rPr>
        <w:t>2</w:t>
      </w:r>
      <w:r>
        <w:rPr>
          <w:rFonts w:hint="eastAsia" w:ascii="仿宋" w:hAnsi="仿宋" w:eastAsia="仿宋"/>
          <w:sz w:val="28"/>
          <w:szCs w:val="28"/>
        </w:rPr>
        <w:t>、2</w:t>
      </w:r>
      <w:r>
        <w:rPr>
          <w:rFonts w:ascii="仿宋" w:hAnsi="仿宋" w:eastAsia="仿宋"/>
          <w:sz w:val="28"/>
          <w:szCs w:val="28"/>
        </w:rPr>
        <w:t>18</w:t>
      </w:r>
      <w:r>
        <w:rPr>
          <w:rFonts w:hint="eastAsia" w:ascii="仿宋" w:hAnsi="仿宋" w:eastAsia="仿宋"/>
          <w:sz w:val="28"/>
          <w:szCs w:val="28"/>
        </w:rPr>
        <w:t xml:space="preserve"> m</w:t>
      </w:r>
      <w:r>
        <w:rPr>
          <w:rFonts w:ascii="仿宋" w:hAnsi="仿宋" w:eastAsia="仿宋"/>
          <w:sz w:val="28"/>
          <w:szCs w:val="28"/>
          <w:vertAlign w:val="superscript"/>
        </w:rPr>
        <w:t>2</w:t>
      </w:r>
      <w:r>
        <w:rPr>
          <w:rFonts w:ascii="仿宋" w:hAnsi="仿宋" w:eastAsia="仿宋"/>
          <w:sz w:val="28"/>
          <w:szCs w:val="28"/>
        </w:rPr>
        <w:t>的</w:t>
      </w:r>
      <w:r>
        <w:rPr>
          <w:rFonts w:hint="eastAsia" w:ascii="仿宋" w:hAnsi="仿宋" w:eastAsia="仿宋"/>
          <w:sz w:val="28"/>
          <w:szCs w:val="28"/>
        </w:rPr>
        <w:t>2室2厅2卫房源共126套；99、1</w:t>
      </w:r>
      <w:r>
        <w:rPr>
          <w:rFonts w:ascii="仿宋" w:hAnsi="仿宋" w:eastAsia="仿宋"/>
          <w:sz w:val="28"/>
          <w:szCs w:val="28"/>
        </w:rPr>
        <w:t>36</w:t>
      </w:r>
      <w:r>
        <w:rPr>
          <w:rFonts w:hint="eastAsia" w:ascii="仿宋" w:hAnsi="仿宋" w:eastAsia="仿宋"/>
          <w:sz w:val="28"/>
          <w:szCs w:val="28"/>
        </w:rPr>
        <w:t>、1</w:t>
      </w:r>
      <w:r>
        <w:rPr>
          <w:rFonts w:ascii="仿宋" w:hAnsi="仿宋" w:eastAsia="仿宋"/>
          <w:sz w:val="28"/>
          <w:szCs w:val="28"/>
        </w:rPr>
        <w:t>39</w:t>
      </w:r>
      <w:r>
        <w:rPr>
          <w:rFonts w:hint="eastAsia" w:ascii="仿宋" w:hAnsi="仿宋" w:eastAsia="仿宋"/>
          <w:sz w:val="28"/>
          <w:szCs w:val="28"/>
        </w:rPr>
        <w:t xml:space="preserve"> m</w:t>
      </w:r>
      <w:r>
        <w:rPr>
          <w:rFonts w:ascii="仿宋" w:hAnsi="仿宋" w:eastAsia="仿宋"/>
          <w:sz w:val="28"/>
          <w:szCs w:val="28"/>
          <w:vertAlign w:val="superscript"/>
        </w:rPr>
        <w:t>2</w:t>
      </w:r>
      <w:r>
        <w:rPr>
          <w:rFonts w:ascii="仿宋" w:hAnsi="仿宋" w:eastAsia="仿宋"/>
          <w:sz w:val="28"/>
          <w:szCs w:val="28"/>
        </w:rPr>
        <w:t>的</w:t>
      </w:r>
      <w:r>
        <w:rPr>
          <w:rFonts w:hint="eastAsia" w:ascii="仿宋" w:hAnsi="仿宋" w:eastAsia="仿宋"/>
          <w:sz w:val="28"/>
          <w:szCs w:val="28"/>
        </w:rPr>
        <w:t>2室2厅3卫房源共14套；167 m</w:t>
      </w:r>
      <w:r>
        <w:rPr>
          <w:rFonts w:ascii="仿宋" w:hAnsi="仿宋" w:eastAsia="仿宋"/>
          <w:sz w:val="28"/>
          <w:szCs w:val="28"/>
          <w:vertAlign w:val="superscript"/>
        </w:rPr>
        <w:t>2</w:t>
      </w:r>
      <w:r>
        <w:rPr>
          <w:rFonts w:hint="eastAsia" w:ascii="仿宋" w:hAnsi="仿宋" w:eastAsia="仿宋"/>
          <w:sz w:val="28"/>
          <w:szCs w:val="28"/>
        </w:rPr>
        <w:t>的2室2厅4卫房源共2套；86 m</w:t>
      </w:r>
      <w:r>
        <w:rPr>
          <w:rFonts w:ascii="仿宋" w:hAnsi="仿宋" w:eastAsia="仿宋"/>
          <w:sz w:val="28"/>
          <w:szCs w:val="28"/>
          <w:vertAlign w:val="superscript"/>
        </w:rPr>
        <w:t>2</w:t>
      </w:r>
      <w:r>
        <w:rPr>
          <w:rFonts w:hint="eastAsia" w:ascii="仿宋" w:hAnsi="仿宋" w:eastAsia="仿宋"/>
          <w:sz w:val="28"/>
          <w:szCs w:val="28"/>
        </w:rPr>
        <w:t>、8</w:t>
      </w:r>
      <w:r>
        <w:rPr>
          <w:rFonts w:ascii="仿宋" w:hAnsi="仿宋" w:eastAsia="仿宋"/>
          <w:sz w:val="28"/>
          <w:szCs w:val="28"/>
        </w:rPr>
        <w:t>7</w:t>
      </w:r>
      <w:r>
        <w:rPr>
          <w:rFonts w:hint="eastAsia" w:ascii="仿宋" w:hAnsi="仿宋" w:eastAsia="仿宋"/>
          <w:sz w:val="28"/>
          <w:szCs w:val="28"/>
        </w:rPr>
        <w:t xml:space="preserve"> m</w:t>
      </w:r>
      <w:r>
        <w:rPr>
          <w:rFonts w:ascii="仿宋" w:hAnsi="仿宋" w:eastAsia="仿宋"/>
          <w:sz w:val="28"/>
          <w:szCs w:val="28"/>
          <w:vertAlign w:val="superscript"/>
        </w:rPr>
        <w:t>2</w:t>
      </w:r>
      <w:r>
        <w:rPr>
          <w:rFonts w:hint="eastAsia" w:ascii="仿宋" w:hAnsi="仿宋" w:eastAsia="仿宋"/>
          <w:sz w:val="28"/>
          <w:szCs w:val="28"/>
        </w:rPr>
        <w:t>的3室2厅1卫房源共180套；101 m</w:t>
      </w:r>
      <w:r>
        <w:rPr>
          <w:rFonts w:ascii="仿宋" w:hAnsi="仿宋" w:eastAsia="仿宋"/>
          <w:sz w:val="28"/>
          <w:szCs w:val="28"/>
          <w:vertAlign w:val="superscript"/>
        </w:rPr>
        <w:t>2</w:t>
      </w:r>
      <w:r>
        <w:rPr>
          <w:rFonts w:hint="eastAsia" w:ascii="仿宋" w:hAnsi="仿宋" w:eastAsia="仿宋"/>
          <w:sz w:val="28"/>
          <w:szCs w:val="28"/>
        </w:rPr>
        <w:t>、103 m</w:t>
      </w:r>
      <w:r>
        <w:rPr>
          <w:rFonts w:ascii="仿宋" w:hAnsi="仿宋" w:eastAsia="仿宋"/>
          <w:sz w:val="28"/>
          <w:szCs w:val="28"/>
          <w:vertAlign w:val="superscript"/>
        </w:rPr>
        <w:t>2</w:t>
      </w:r>
      <w:r>
        <w:rPr>
          <w:rFonts w:hint="eastAsia" w:ascii="仿宋" w:hAnsi="仿宋" w:eastAsia="仿宋"/>
          <w:sz w:val="28"/>
          <w:szCs w:val="28"/>
        </w:rPr>
        <w:t>的3室2厅2卫房源共516套；157 m</w:t>
      </w:r>
      <w:r>
        <w:rPr>
          <w:rFonts w:ascii="仿宋" w:hAnsi="仿宋" w:eastAsia="仿宋"/>
          <w:sz w:val="28"/>
          <w:szCs w:val="28"/>
          <w:vertAlign w:val="superscript"/>
        </w:rPr>
        <w:t>2</w:t>
      </w:r>
      <w:r>
        <w:rPr>
          <w:rFonts w:hint="eastAsia" w:ascii="仿宋" w:hAnsi="仿宋" w:eastAsia="仿宋"/>
          <w:sz w:val="28"/>
          <w:szCs w:val="28"/>
        </w:rPr>
        <w:t>的3室2厅3卫房源共2套；130 m</w:t>
      </w:r>
      <w:r>
        <w:rPr>
          <w:rFonts w:ascii="仿宋" w:hAnsi="仿宋" w:eastAsia="仿宋"/>
          <w:sz w:val="28"/>
          <w:szCs w:val="28"/>
          <w:vertAlign w:val="superscript"/>
        </w:rPr>
        <w:t>2</w:t>
      </w:r>
      <w:r>
        <w:rPr>
          <w:rFonts w:hint="eastAsia" w:ascii="仿宋" w:hAnsi="仿宋" w:eastAsia="仿宋"/>
          <w:sz w:val="28"/>
          <w:szCs w:val="28"/>
        </w:rPr>
        <w:t>、1</w:t>
      </w:r>
      <w:r>
        <w:rPr>
          <w:rFonts w:ascii="仿宋" w:hAnsi="仿宋" w:eastAsia="仿宋"/>
          <w:sz w:val="28"/>
          <w:szCs w:val="28"/>
        </w:rPr>
        <w:t>33</w:t>
      </w:r>
      <w:r>
        <w:rPr>
          <w:rFonts w:hint="eastAsia" w:ascii="仿宋" w:hAnsi="仿宋" w:eastAsia="仿宋"/>
          <w:sz w:val="28"/>
          <w:szCs w:val="28"/>
        </w:rPr>
        <w:t xml:space="preserve"> m</w:t>
      </w:r>
      <w:r>
        <w:rPr>
          <w:rFonts w:ascii="仿宋" w:hAnsi="仿宋" w:eastAsia="仿宋"/>
          <w:sz w:val="28"/>
          <w:szCs w:val="28"/>
          <w:vertAlign w:val="superscript"/>
        </w:rPr>
        <w:t>2</w:t>
      </w:r>
      <w:r>
        <w:rPr>
          <w:rFonts w:hint="eastAsia" w:ascii="仿宋" w:hAnsi="仿宋" w:eastAsia="仿宋"/>
          <w:sz w:val="28"/>
          <w:szCs w:val="28"/>
        </w:rPr>
        <w:t>的4室2厅2卫房源共426套；1</w:t>
      </w:r>
      <w:r>
        <w:rPr>
          <w:rFonts w:ascii="仿宋" w:hAnsi="仿宋" w:eastAsia="仿宋"/>
          <w:sz w:val="28"/>
          <w:szCs w:val="28"/>
        </w:rPr>
        <w:t>95</w:t>
      </w:r>
      <w:r>
        <w:rPr>
          <w:rFonts w:hint="eastAsia" w:ascii="仿宋" w:hAnsi="仿宋" w:eastAsia="仿宋"/>
          <w:sz w:val="28"/>
          <w:szCs w:val="28"/>
        </w:rPr>
        <w:t>m</w:t>
      </w:r>
      <w:r>
        <w:rPr>
          <w:rFonts w:ascii="仿宋" w:hAnsi="仿宋" w:eastAsia="仿宋"/>
          <w:sz w:val="28"/>
          <w:szCs w:val="28"/>
          <w:vertAlign w:val="superscript"/>
        </w:rPr>
        <w:t>2</w:t>
      </w:r>
      <w:r>
        <w:rPr>
          <w:rFonts w:hint="eastAsia" w:ascii="仿宋" w:hAnsi="仿宋" w:eastAsia="仿宋"/>
          <w:sz w:val="28"/>
          <w:szCs w:val="28"/>
        </w:rPr>
        <w:t>的4室2厅4卫房源共4套；176 m</w:t>
      </w:r>
      <w:r>
        <w:rPr>
          <w:rFonts w:ascii="仿宋" w:hAnsi="仿宋" w:eastAsia="仿宋"/>
          <w:sz w:val="28"/>
          <w:szCs w:val="28"/>
          <w:vertAlign w:val="superscript"/>
        </w:rPr>
        <w:t>2</w:t>
      </w:r>
      <w:r>
        <w:rPr>
          <w:rFonts w:hint="eastAsia" w:ascii="仿宋" w:hAnsi="仿宋" w:eastAsia="仿宋"/>
          <w:sz w:val="28"/>
          <w:szCs w:val="28"/>
        </w:rPr>
        <w:t>、1</w:t>
      </w:r>
      <w:r>
        <w:rPr>
          <w:rFonts w:ascii="仿宋" w:hAnsi="仿宋" w:eastAsia="仿宋"/>
          <w:sz w:val="28"/>
          <w:szCs w:val="28"/>
        </w:rPr>
        <w:t>78</w:t>
      </w:r>
      <w:r>
        <w:rPr>
          <w:rFonts w:hint="eastAsia" w:ascii="仿宋" w:hAnsi="仿宋" w:eastAsia="仿宋"/>
          <w:sz w:val="28"/>
          <w:szCs w:val="28"/>
        </w:rPr>
        <w:t xml:space="preserve"> m</w:t>
      </w:r>
      <w:r>
        <w:rPr>
          <w:rFonts w:ascii="仿宋" w:hAnsi="仿宋" w:eastAsia="仿宋"/>
          <w:sz w:val="28"/>
          <w:szCs w:val="28"/>
          <w:vertAlign w:val="superscript"/>
        </w:rPr>
        <w:t>2</w:t>
      </w:r>
      <w:r>
        <w:rPr>
          <w:rFonts w:hint="eastAsia" w:ascii="仿宋" w:hAnsi="仿宋" w:eastAsia="仿宋"/>
          <w:sz w:val="28"/>
          <w:szCs w:val="28"/>
        </w:rPr>
        <w:t>、182 m</w:t>
      </w:r>
      <w:r>
        <w:rPr>
          <w:rFonts w:ascii="仿宋" w:hAnsi="仿宋" w:eastAsia="仿宋"/>
          <w:sz w:val="28"/>
          <w:szCs w:val="28"/>
          <w:vertAlign w:val="superscript"/>
        </w:rPr>
        <w:t>2</w:t>
      </w:r>
      <w:r>
        <w:rPr>
          <w:rFonts w:hint="eastAsia" w:ascii="仿宋" w:hAnsi="仿宋" w:eastAsia="仿宋"/>
          <w:sz w:val="28"/>
          <w:szCs w:val="28"/>
        </w:rPr>
        <w:t>、1</w:t>
      </w:r>
      <w:r>
        <w:rPr>
          <w:rFonts w:ascii="仿宋" w:hAnsi="仿宋" w:eastAsia="仿宋"/>
          <w:sz w:val="28"/>
          <w:szCs w:val="28"/>
        </w:rPr>
        <w:t>83</w:t>
      </w:r>
      <w:r>
        <w:rPr>
          <w:rFonts w:hint="eastAsia" w:ascii="仿宋" w:hAnsi="仿宋" w:eastAsia="仿宋"/>
          <w:sz w:val="28"/>
          <w:szCs w:val="28"/>
        </w:rPr>
        <w:t xml:space="preserve"> m</w:t>
      </w:r>
      <w:r>
        <w:rPr>
          <w:rFonts w:ascii="仿宋" w:hAnsi="仿宋" w:eastAsia="仿宋"/>
          <w:sz w:val="28"/>
          <w:szCs w:val="28"/>
          <w:vertAlign w:val="superscript"/>
        </w:rPr>
        <w:t>2</w:t>
      </w:r>
      <w:r>
        <w:rPr>
          <w:rFonts w:hint="eastAsia" w:ascii="仿宋" w:hAnsi="仿宋" w:eastAsia="仿宋"/>
          <w:sz w:val="28"/>
          <w:szCs w:val="28"/>
        </w:rPr>
        <w:t>的5室2厅3卫房源共20套。</w:t>
      </w:r>
    </w:p>
    <w:p>
      <w:pPr>
        <w:spacing w:line="360" w:lineRule="auto"/>
        <w:ind w:firstLine="560" w:firstLineChars="200"/>
        <w:rPr>
          <w:rFonts w:ascii="仿宋" w:hAnsi="仿宋" w:eastAsia="仿宋"/>
          <w:sz w:val="28"/>
          <w:szCs w:val="28"/>
        </w:rPr>
      </w:pPr>
      <w:r>
        <w:rPr>
          <w:rFonts w:ascii="仿宋" w:hAnsi="仿宋" w:eastAsia="仿宋"/>
          <w:sz w:val="28"/>
          <w:szCs w:val="28"/>
        </w:rPr>
        <w:t>上述房源中</w:t>
      </w:r>
      <w:r>
        <w:rPr>
          <w:rFonts w:hint="eastAsia" w:ascii="仿宋" w:hAnsi="仿宋" w:eastAsia="仿宋"/>
          <w:sz w:val="28"/>
          <w:szCs w:val="28"/>
        </w:rPr>
        <w:t>提供129套用于棚改货币化安置住户优先摇号、优先选房（若符合条件的棚改货币化安置住户人数少于129人，剩余房源统一纳入总房源，由普通登记购房人按摇号排序结果依序选房）。</w:t>
      </w:r>
    </w:p>
    <w:p>
      <w:pPr>
        <w:pStyle w:val="21"/>
        <w:numPr>
          <w:ilvl w:val="0"/>
          <w:numId w:val="1"/>
        </w:numPr>
        <w:spacing w:line="360" w:lineRule="auto"/>
        <w:ind w:firstLineChars="0"/>
        <w:rPr>
          <w:rFonts w:ascii="仿宋" w:hAnsi="仿宋" w:eastAsia="仿宋"/>
          <w:b/>
          <w:sz w:val="32"/>
          <w:szCs w:val="28"/>
        </w:rPr>
      </w:pPr>
      <w:r>
        <w:rPr>
          <w:rFonts w:hint="eastAsia" w:ascii="仿宋" w:hAnsi="仿宋" w:eastAsia="仿宋"/>
          <w:b/>
          <w:sz w:val="32"/>
          <w:szCs w:val="28"/>
        </w:rPr>
        <w:t>支持棚改货币化安置住户优先摇号、优先选房</w:t>
      </w:r>
    </w:p>
    <w:p>
      <w:pPr>
        <w:spacing w:line="360" w:lineRule="auto"/>
        <w:rPr>
          <w:rFonts w:ascii="仿宋" w:hAnsi="仿宋" w:eastAsia="仿宋"/>
          <w:sz w:val="28"/>
          <w:szCs w:val="28"/>
        </w:rPr>
      </w:pPr>
      <w:r>
        <w:rPr>
          <w:rFonts w:hint="eastAsia" w:ascii="仿宋" w:hAnsi="仿宋" w:eastAsia="仿宋"/>
          <w:sz w:val="28"/>
          <w:szCs w:val="28"/>
        </w:rPr>
        <w:t xml:space="preserve">  安置补偿协议在2016年10月1日以后生效的棚改货币化安置住户，以改造范围为区域认定标准，根据“拆一购一”原则，遵照区域住房限购政策，符合下列条件之一的，我公司支持其优先摇号、优先选房：</w:t>
      </w:r>
    </w:p>
    <w:p>
      <w:pPr>
        <w:spacing w:line="360" w:lineRule="auto"/>
        <w:rPr>
          <w:rFonts w:ascii="仿宋" w:hAnsi="仿宋" w:eastAsia="仿宋"/>
          <w:sz w:val="28"/>
          <w:szCs w:val="28"/>
        </w:rPr>
      </w:pPr>
      <w:r>
        <w:rPr>
          <w:rFonts w:hint="eastAsia" w:ascii="仿宋" w:hAnsi="仿宋" w:eastAsia="仿宋"/>
          <w:sz w:val="28"/>
          <w:szCs w:val="28"/>
        </w:rPr>
        <w:t xml:space="preserve">    （一）补偿协议生效后，未在我市住房限购区域内购买住房；</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（二）补偿协议生效后，已在我市住房限购区域内购买住房，但购房日期为2017年3月24日之前，且所购房屋为二手住房。</w:t>
      </w:r>
    </w:p>
    <w:p>
      <w:pPr>
        <w:pStyle w:val="21"/>
        <w:numPr>
          <w:ilvl w:val="0"/>
          <w:numId w:val="1"/>
        </w:numPr>
        <w:spacing w:line="360" w:lineRule="auto"/>
        <w:ind w:firstLineChars="0"/>
        <w:rPr>
          <w:rFonts w:ascii="仿宋" w:hAnsi="仿宋" w:eastAsia="仿宋"/>
          <w:b/>
          <w:sz w:val="32"/>
          <w:szCs w:val="28"/>
        </w:rPr>
      </w:pPr>
      <w:r>
        <w:rPr>
          <w:rFonts w:ascii="仿宋" w:hAnsi="仿宋" w:eastAsia="仿宋"/>
          <w:b/>
          <w:sz w:val="32"/>
          <w:szCs w:val="28"/>
        </w:rPr>
        <w:t>信息公示</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（一）公告时间：取得预售许可证第2天至开盘销售结束时止。</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公告地点</w:t>
      </w:r>
      <w:r>
        <w:rPr>
          <w:rFonts w:hint="eastAsia" w:ascii="仿宋" w:hAnsi="仿宋" w:eastAsia="仿宋"/>
          <w:sz w:val="28"/>
          <w:szCs w:val="28"/>
        </w:rPr>
        <w:t>：</w:t>
      </w:r>
      <w:r>
        <w:rPr>
          <w:rFonts w:ascii="仿宋" w:hAnsi="仿宋" w:eastAsia="仿宋"/>
          <w:sz w:val="28"/>
          <w:szCs w:val="28"/>
        </w:rPr>
        <w:t>华润云庭销售中心现场</w:t>
      </w:r>
      <w:r>
        <w:rPr>
          <w:rFonts w:hint="eastAsia" w:ascii="仿宋" w:hAnsi="仿宋" w:eastAsia="仿宋"/>
          <w:sz w:val="28"/>
          <w:szCs w:val="28"/>
        </w:rPr>
        <w:t>、华润置地成都公司官方微信公众号（华润置地成都公司；微信号：cdhrgjsq）。</w:t>
      </w:r>
    </w:p>
    <w:p>
      <w:pPr>
        <w:spacing w:line="360" w:lineRule="auto"/>
        <w:ind w:left="720"/>
        <w:rPr>
          <w:rFonts w:ascii="仿宋" w:hAnsi="仿宋" w:eastAsia="仿宋"/>
          <w:sz w:val="28"/>
          <w:szCs w:val="28"/>
        </w:rPr>
      </w:pPr>
      <w:r>
        <w:rPr>
          <w:rFonts w:hint="eastAsia" w:ascii="仿宋_GB2312" w:hAnsi="仿宋_GB2312" w:eastAsia="仿宋_GB2312" w:cs="仿宋_GB2312"/>
          <w:color w:val="000000" w:themeColor="text1"/>
          <w:sz w:val="28"/>
          <w:szCs w:val="28"/>
        </w:rPr>
        <w:t>（三）</w:t>
      </w:r>
      <w:r>
        <w:rPr>
          <w:rFonts w:ascii="仿宋_GB2312" w:hAnsi="仿宋_GB2312" w:eastAsia="仿宋_GB2312" w:cs="仿宋_GB2312"/>
          <w:color w:val="000000" w:themeColor="text1"/>
          <w:sz w:val="28"/>
          <w:szCs w:val="28"/>
        </w:rPr>
        <w:t>公示内容</w:t>
      </w:r>
      <w:r>
        <w:rPr>
          <w:rFonts w:hint="eastAsia" w:ascii="仿宋_GB2312" w:hAnsi="仿宋_GB2312" w:eastAsia="仿宋_GB2312" w:cs="仿宋_GB2312"/>
          <w:color w:val="000000" w:themeColor="text1"/>
          <w:sz w:val="28"/>
          <w:szCs w:val="28"/>
        </w:rPr>
        <w:t>：</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1、商品房预售许可证（或现售备案）、购房登记规则、按序选房规则、商品房销售方案；</w:t>
      </w:r>
    </w:p>
    <w:p>
      <w:pPr>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、全部准售房源（含户型），包括明确用于棚改货币化安置住户优先摇号选购的套数，按申报价格对每套房源明码标价（含装修的，分别标明房屋申报价格和经核查的装修工程价格）；</w:t>
      </w:r>
    </w:p>
    <w:p>
      <w:pPr>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、网上登记时间，现场核验购房资格的地址、时间及注意事项；</w:t>
      </w:r>
    </w:p>
    <w:p>
      <w:pPr>
        <w:spacing w:line="360" w:lineRule="auto"/>
        <w:ind w:firstLine="560" w:firstLineChars="200"/>
        <w:rPr>
          <w:rFonts w:ascii="仿宋" w:hAnsi="仿宋" w:eastAsia="仿宋"/>
          <w:sz w:val="28"/>
          <w:szCs w:val="28"/>
        </w:rPr>
      </w:pPr>
      <w:r>
        <w:rPr>
          <w:rFonts w:hint="eastAsia" w:ascii="仿宋" w:hAnsi="仿宋" w:eastAsia="仿宋"/>
          <w:sz w:val="28"/>
          <w:szCs w:val="28"/>
        </w:rPr>
        <w:t>4、摇号和排序结果公布时间、选房时间等规定的内容。</w:t>
      </w:r>
    </w:p>
    <w:p>
      <w:pPr>
        <w:spacing w:line="360" w:lineRule="auto"/>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 公证机构受理摇号排序选房公证的说明（包括公证机构名称、公证内容等）；</w:t>
      </w:r>
    </w:p>
    <w:p>
      <w:pPr>
        <w:spacing w:line="360" w:lineRule="auto"/>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、商品住房开盘销售公证摇号选购流程；</w:t>
      </w:r>
    </w:p>
    <w:p>
      <w:pPr>
        <w:spacing w:line="360" w:lineRule="auto"/>
        <w:ind w:firstLine="560" w:firstLineChars="200"/>
        <w:rPr>
          <w:rFonts w:ascii="仿宋" w:hAnsi="仿宋" w:eastAsia="仿宋"/>
          <w:sz w:val="28"/>
          <w:szCs w:val="28"/>
        </w:rPr>
      </w:pPr>
      <w:r>
        <w:rPr>
          <w:rFonts w:hint="eastAsia" w:ascii="仿宋" w:hAnsi="仿宋" w:eastAsia="仿宋"/>
          <w:sz w:val="28"/>
          <w:szCs w:val="28"/>
        </w:rPr>
        <w:t>7、其他按规定应公示的内容（如商品住房位于我市住宅限购区域的，还应公示相关房地产市场调控政策文件）。</w:t>
      </w:r>
      <w:bookmarkEnd w:id="1"/>
    </w:p>
    <w:p>
      <w:pPr>
        <w:pStyle w:val="21"/>
        <w:numPr>
          <w:ilvl w:val="0"/>
          <w:numId w:val="1"/>
        </w:numPr>
        <w:spacing w:line="360" w:lineRule="auto"/>
        <w:ind w:firstLineChars="0"/>
        <w:rPr>
          <w:rFonts w:ascii="仿宋" w:hAnsi="仿宋" w:eastAsia="仿宋"/>
          <w:b/>
          <w:sz w:val="32"/>
          <w:szCs w:val="28"/>
        </w:rPr>
      </w:pPr>
      <w:r>
        <w:rPr>
          <w:rFonts w:ascii="仿宋" w:hAnsi="仿宋" w:eastAsia="仿宋"/>
          <w:b/>
          <w:sz w:val="32"/>
          <w:szCs w:val="28"/>
        </w:rPr>
        <w:t>网上登记</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（一）登记时间：取得预售许可证第2-4天（每天9：00-18：00）</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（二）登记方式：登记购房人按我公司公示的时间，自行登录成都住宅与房地产业协会网址（www.cdfangxie.com），按要求在商品住房购房登记平台上填报信息，购房登记平台确认信息后，自动生成登记号。</w:t>
      </w:r>
    </w:p>
    <w:p>
      <w:pPr>
        <w:spacing w:line="360" w:lineRule="auto"/>
        <w:ind w:firstLine="560" w:firstLineChars="200"/>
        <w:rPr>
          <w:rFonts w:ascii="仿宋" w:hAnsi="仿宋" w:eastAsia="仿宋"/>
          <w:sz w:val="28"/>
          <w:szCs w:val="28"/>
        </w:rPr>
      </w:pPr>
      <w:r>
        <w:rPr>
          <w:rFonts w:ascii="仿宋" w:hAnsi="仿宋" w:eastAsia="仿宋"/>
          <w:sz w:val="28"/>
          <w:szCs w:val="28"/>
        </w:rPr>
        <w:t>注意</w:t>
      </w:r>
      <w:r>
        <w:rPr>
          <w:rFonts w:hint="eastAsia" w:ascii="仿宋" w:hAnsi="仿宋" w:eastAsia="仿宋"/>
          <w:sz w:val="28"/>
          <w:szCs w:val="28"/>
        </w:rPr>
        <w:t>：</w:t>
      </w:r>
      <w:r>
        <w:rPr>
          <w:rFonts w:ascii="仿宋" w:hAnsi="仿宋" w:eastAsia="仿宋"/>
          <w:sz w:val="28"/>
          <w:szCs w:val="28"/>
        </w:rPr>
        <w:t>未在网上实名登记但要求现场购房登记或核验购房资格的</w:t>
      </w:r>
      <w:r>
        <w:rPr>
          <w:rFonts w:hint="eastAsia" w:ascii="仿宋" w:hAnsi="仿宋" w:eastAsia="仿宋"/>
          <w:sz w:val="28"/>
          <w:szCs w:val="28"/>
        </w:rPr>
        <w:t>，</w:t>
      </w:r>
      <w:r>
        <w:rPr>
          <w:rFonts w:ascii="仿宋" w:hAnsi="仿宋" w:eastAsia="仿宋"/>
          <w:sz w:val="28"/>
          <w:szCs w:val="28"/>
        </w:rPr>
        <w:t>我公司将不予受理</w:t>
      </w:r>
      <w:r>
        <w:rPr>
          <w:rFonts w:hint="eastAsia" w:ascii="仿宋" w:hAnsi="仿宋" w:eastAsia="仿宋"/>
          <w:sz w:val="28"/>
          <w:szCs w:val="28"/>
        </w:rPr>
        <w:t>。</w:t>
      </w:r>
    </w:p>
    <w:p>
      <w:pPr>
        <w:pStyle w:val="21"/>
        <w:numPr>
          <w:ilvl w:val="0"/>
          <w:numId w:val="1"/>
        </w:numPr>
        <w:spacing w:line="360" w:lineRule="auto"/>
        <w:ind w:firstLineChars="0"/>
        <w:rPr>
          <w:rFonts w:ascii="仿宋" w:hAnsi="仿宋" w:eastAsia="仿宋"/>
          <w:b/>
          <w:sz w:val="32"/>
          <w:szCs w:val="28"/>
        </w:rPr>
      </w:pPr>
      <w:r>
        <w:rPr>
          <w:rFonts w:ascii="仿宋" w:hAnsi="仿宋" w:eastAsia="仿宋"/>
          <w:b/>
          <w:sz w:val="32"/>
          <w:szCs w:val="28"/>
        </w:rPr>
        <w:t>核验购房资格</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（一）资格核验时间：取得预售许可证后第3天至核验完成。</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w:t>
      </w:r>
      <w:r>
        <w:rPr>
          <w:rFonts w:ascii="仿宋" w:hAnsi="仿宋" w:eastAsia="仿宋"/>
          <w:sz w:val="28"/>
          <w:szCs w:val="28"/>
        </w:rPr>
        <w:t>资格核验地点</w:t>
      </w:r>
      <w:r>
        <w:rPr>
          <w:rFonts w:hint="eastAsia" w:ascii="仿宋" w:hAnsi="仿宋" w:eastAsia="仿宋"/>
          <w:sz w:val="28"/>
          <w:szCs w:val="28"/>
        </w:rPr>
        <w:t>：</w:t>
      </w:r>
      <w:r>
        <w:rPr>
          <w:rFonts w:ascii="仿宋" w:hAnsi="仿宋" w:eastAsia="仿宋"/>
          <w:sz w:val="28"/>
          <w:szCs w:val="28"/>
        </w:rPr>
        <w:t>请登记购房人按我公司电话或短信通知的时间</w:t>
      </w:r>
      <w:r>
        <w:rPr>
          <w:rFonts w:hint="eastAsia" w:ascii="仿宋" w:hAnsi="仿宋" w:eastAsia="仿宋"/>
          <w:sz w:val="28"/>
          <w:szCs w:val="28"/>
        </w:rPr>
        <w:t>，</w:t>
      </w:r>
      <w:r>
        <w:rPr>
          <w:rFonts w:ascii="仿宋" w:hAnsi="仿宋" w:eastAsia="仿宋"/>
          <w:sz w:val="28"/>
          <w:szCs w:val="28"/>
        </w:rPr>
        <w:t>到</w:t>
      </w:r>
      <w:r>
        <w:rPr>
          <w:rFonts w:hint="eastAsia" w:ascii="仿宋" w:hAnsi="仿宋" w:eastAsia="仿宋"/>
          <w:sz w:val="28"/>
          <w:szCs w:val="28"/>
        </w:rPr>
        <w:t>华润云庭销售中心</w:t>
      </w:r>
      <w:r>
        <w:rPr>
          <w:rFonts w:ascii="仿宋" w:hAnsi="仿宋" w:eastAsia="仿宋"/>
          <w:sz w:val="28"/>
          <w:szCs w:val="28"/>
        </w:rPr>
        <w:t>提交需核验的资料</w:t>
      </w:r>
      <w:r>
        <w:rPr>
          <w:rFonts w:hint="eastAsia" w:ascii="仿宋" w:hAnsi="仿宋" w:eastAsia="仿宋"/>
          <w:sz w:val="28"/>
          <w:szCs w:val="28"/>
        </w:rPr>
        <w:t>（资格核验现场布置图见附件1）。</w:t>
      </w:r>
    </w:p>
    <w:p>
      <w:pPr>
        <w:spacing w:line="360" w:lineRule="auto"/>
        <w:ind w:firstLine="560" w:firstLineChars="200"/>
        <w:rPr>
          <w:rFonts w:ascii="仿宋" w:hAnsi="仿宋" w:eastAsia="仿宋"/>
          <w:sz w:val="28"/>
          <w:szCs w:val="28"/>
        </w:rPr>
      </w:pPr>
      <w:r>
        <w:rPr>
          <w:rFonts w:ascii="仿宋" w:hAnsi="仿宋" w:eastAsia="仿宋"/>
          <w:sz w:val="28"/>
          <w:szCs w:val="28"/>
        </w:rPr>
        <w:t>注意</w:t>
      </w:r>
      <w:r>
        <w:rPr>
          <w:rFonts w:hint="eastAsia" w:ascii="仿宋" w:hAnsi="仿宋" w:eastAsia="仿宋"/>
          <w:sz w:val="28"/>
          <w:szCs w:val="28"/>
        </w:rPr>
        <w:t>：登记购房人在我公司通知的时间内未提交材料或未通过资格核验的视为无效登记。无效登记的将通过电话、短信通知、签字确认等方式告知登记购房人。</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（三）购房资格资料。请网上登记成功的购房人按照我公司通知的时间，分批次分时段至华润云庭销售中心提交下列购房资格材料（包括但不限于下列材料，详见附件3）：</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 登记购房人的身份证明（核原件收复印件）；</w:t>
      </w:r>
    </w:p>
    <w:p>
      <w:pPr>
        <w:spacing w:line="360" w:lineRule="auto"/>
        <w:ind w:firstLine="560" w:firstLineChars="200"/>
        <w:rPr>
          <w:rFonts w:ascii="仿宋" w:hAnsi="仿宋" w:eastAsia="仿宋"/>
          <w:sz w:val="28"/>
          <w:szCs w:val="28"/>
        </w:rPr>
      </w:pPr>
      <w:r>
        <w:rPr>
          <w:rFonts w:ascii="仿宋" w:hAnsi="仿宋" w:eastAsia="仿宋"/>
          <w:sz w:val="28"/>
          <w:szCs w:val="28"/>
        </w:rPr>
        <w:t xml:space="preserve">2. </w:t>
      </w:r>
      <w:r>
        <w:rPr>
          <w:rFonts w:hint="eastAsia" w:ascii="仿宋" w:hAnsi="仿宋" w:eastAsia="仿宋"/>
          <w:sz w:val="28"/>
          <w:szCs w:val="28"/>
        </w:rPr>
        <w:t>登记购房人的资信证明，包括按揭方式购房的征信报告（须打印本人及配偶的征信报告，登记购房人可持身份证原件至中国人民银行各柜台办理）、核验之日前1个月内的家庭成员银行存单或账户交易明细等（不高于意向房源首付款，首付款按四川省商业性个人住房贷款最低首付款比例确定，最终以按揭银行审定的结果为准）；</w:t>
      </w:r>
    </w:p>
    <w:p>
      <w:pPr>
        <w:spacing w:line="360" w:lineRule="auto"/>
        <w:ind w:firstLine="560" w:firstLineChars="200"/>
        <w:rPr>
          <w:rFonts w:ascii="仿宋" w:hAnsi="仿宋" w:eastAsia="仿宋"/>
          <w:sz w:val="28"/>
          <w:szCs w:val="28"/>
        </w:rPr>
      </w:pPr>
      <w:r>
        <w:rPr>
          <w:rFonts w:ascii="仿宋" w:hAnsi="仿宋" w:eastAsia="仿宋"/>
          <w:sz w:val="28"/>
          <w:szCs w:val="28"/>
        </w:rPr>
        <w:t xml:space="preserve">3. </w:t>
      </w:r>
      <w:r>
        <w:rPr>
          <w:rFonts w:hint="eastAsia" w:ascii="仿宋" w:hAnsi="仿宋" w:eastAsia="仿宋"/>
          <w:sz w:val="28"/>
          <w:szCs w:val="28"/>
        </w:rPr>
        <w:t>如登记购房人委托他人提交相关核验资料的，需核验委托书、委托人和受委托人的身份证明等材料；</w:t>
      </w:r>
    </w:p>
    <w:p>
      <w:pPr>
        <w:spacing w:line="360" w:lineRule="auto"/>
        <w:ind w:firstLine="560" w:firstLineChars="200"/>
        <w:rPr>
          <w:rFonts w:ascii="仿宋" w:hAnsi="仿宋" w:eastAsia="仿宋"/>
          <w:sz w:val="28"/>
          <w:szCs w:val="28"/>
        </w:rPr>
      </w:pPr>
      <w:r>
        <w:rPr>
          <w:rFonts w:ascii="仿宋" w:hAnsi="仿宋" w:eastAsia="仿宋"/>
          <w:sz w:val="28"/>
          <w:szCs w:val="28"/>
        </w:rPr>
        <w:t xml:space="preserve">4. </w:t>
      </w:r>
      <w:r>
        <w:rPr>
          <w:rFonts w:hint="eastAsia" w:ascii="仿宋" w:hAnsi="仿宋" w:eastAsia="仿宋"/>
          <w:sz w:val="28"/>
          <w:szCs w:val="28"/>
        </w:rPr>
        <w:t>登记购房人为棚改货币化安置住户的，需核验登记购房人通过成都市房屋征收系统自助终端机打印并经棚改实施单位加盖公章的《成都市国有土地上房屋征收补偿安置合同备案表》（货币补偿），打印地点成都市房产管理局大厅；</w:t>
      </w:r>
    </w:p>
    <w:p>
      <w:pPr>
        <w:spacing w:line="360" w:lineRule="auto"/>
        <w:ind w:firstLine="560" w:firstLineChars="200"/>
        <w:rPr>
          <w:rFonts w:ascii="仿宋" w:hAnsi="仿宋" w:eastAsia="仿宋"/>
          <w:sz w:val="28"/>
          <w:szCs w:val="28"/>
        </w:rPr>
      </w:pPr>
      <w:r>
        <w:rPr>
          <w:rFonts w:hint="eastAsia" w:ascii="仿宋" w:hAnsi="仿宋" w:eastAsia="仿宋"/>
          <w:sz w:val="28"/>
          <w:szCs w:val="28"/>
        </w:rPr>
        <w:t>5. 由于我公司该项目位于我市住房限购区域，因此还需核验：</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（1）登记购房人的户籍证明或登记购房人社保缴纳明细、稳定就业证明（加盖就业单位公章，参考样式见附件2）；</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（2）重大招商引资项目和机关企事业单位引进的高端人才（含紧缺人才），需核验登记购房人身份证明和区政府（或管委会）等出具的证明或人才绿卡；</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（3）部队所在地在我市住房限购区域的现役军人，需核验其部队团级以上单位开具部队驻扎地在成都限购区域的证明。</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p>
    <w:p>
      <w:pPr>
        <w:pStyle w:val="21"/>
        <w:numPr>
          <w:ilvl w:val="0"/>
          <w:numId w:val="1"/>
        </w:numPr>
        <w:spacing w:line="360" w:lineRule="auto"/>
        <w:ind w:firstLineChars="0"/>
        <w:rPr>
          <w:rFonts w:ascii="仿宋" w:hAnsi="仿宋" w:eastAsia="仿宋"/>
          <w:b/>
          <w:sz w:val="32"/>
          <w:szCs w:val="28"/>
        </w:rPr>
      </w:pPr>
      <w:r>
        <w:rPr>
          <w:rFonts w:hint="eastAsia" w:ascii="仿宋" w:hAnsi="仿宋" w:eastAsia="仿宋"/>
          <w:b/>
          <w:sz w:val="32"/>
          <w:szCs w:val="28"/>
        </w:rPr>
        <w:t>购房资格核验结果反馈和资料保存</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（一）核验结果反馈。购房资格核验结束后，我公司将通过短信、微信等方式，将购房资格核验结果反馈给登记购房人，包含购房登记号、登记购房人姓名、身份证号码、核验结果（未核验通过的注明原因）等。</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（二）资料保存。我公司将妥善保存已核验的购房资格资料，并将《棚改住户登记购房名册》和《普通登记购房人名册》报送龙泉驿区房管局，包括汇总的初始名册和复核后的名册。</w:t>
      </w:r>
    </w:p>
    <w:p>
      <w:pPr>
        <w:spacing w:line="360" w:lineRule="auto"/>
        <w:ind w:firstLine="560" w:firstLineChars="200"/>
        <w:rPr>
          <w:rFonts w:ascii="仿宋" w:hAnsi="仿宋" w:eastAsia="仿宋"/>
          <w:sz w:val="28"/>
          <w:szCs w:val="28"/>
        </w:rPr>
      </w:pPr>
    </w:p>
    <w:p>
      <w:pPr>
        <w:pStyle w:val="21"/>
        <w:numPr>
          <w:ilvl w:val="0"/>
          <w:numId w:val="1"/>
        </w:numPr>
        <w:spacing w:line="360" w:lineRule="auto"/>
        <w:ind w:firstLineChars="0"/>
        <w:rPr>
          <w:rFonts w:ascii="仿宋" w:hAnsi="仿宋" w:eastAsia="仿宋"/>
          <w:b/>
          <w:sz w:val="32"/>
          <w:szCs w:val="28"/>
        </w:rPr>
      </w:pPr>
      <w:r>
        <w:rPr>
          <w:rFonts w:hint="eastAsia" w:ascii="仿宋" w:hAnsi="仿宋" w:eastAsia="仿宋"/>
          <w:b/>
          <w:sz w:val="32"/>
          <w:szCs w:val="28"/>
        </w:rPr>
        <w:t>购房资格复核</w:t>
      </w:r>
    </w:p>
    <w:p>
      <w:pPr>
        <w:numPr>
          <w:ilvl w:val="255"/>
          <w:numId w:val="0"/>
        </w:numPr>
        <w:spacing w:line="560" w:lineRule="exact"/>
        <w:ind w:firstLine="560" w:firstLineChars="200"/>
        <w:rPr>
          <w:rFonts w:ascii="仿宋" w:hAnsi="仿宋" w:eastAsia="仿宋" w:cs="仿宋_GB2312"/>
          <w:bCs/>
          <w:color w:val="000000" w:themeColor="text1"/>
          <w:sz w:val="28"/>
          <w:szCs w:val="32"/>
        </w:rPr>
      </w:pPr>
      <w:r>
        <w:rPr>
          <w:rFonts w:hint="eastAsia" w:ascii="仿宋" w:hAnsi="仿宋" w:eastAsia="仿宋" w:cs="仿宋_GB2312"/>
          <w:bCs/>
          <w:color w:val="000000" w:themeColor="text1"/>
          <w:sz w:val="28"/>
          <w:szCs w:val="32"/>
        </w:rPr>
        <w:t>（一）资格复核时间：取得预售许可证后第4天至复核完毕。</w:t>
      </w:r>
    </w:p>
    <w:p>
      <w:pPr>
        <w:numPr>
          <w:ilvl w:val="255"/>
          <w:numId w:val="0"/>
        </w:numPr>
        <w:spacing w:line="560" w:lineRule="exact"/>
        <w:ind w:firstLine="560" w:firstLineChars="200"/>
        <w:rPr>
          <w:rFonts w:ascii="仿宋" w:hAnsi="仿宋" w:eastAsia="仿宋" w:cs="仿宋_GB2312"/>
          <w:bCs/>
          <w:color w:val="000000" w:themeColor="text1"/>
          <w:sz w:val="28"/>
          <w:szCs w:val="32"/>
        </w:rPr>
      </w:pPr>
      <w:r>
        <w:rPr>
          <w:rFonts w:hint="eastAsia" w:ascii="仿宋" w:hAnsi="仿宋" w:eastAsia="仿宋" w:cs="仿宋_GB2312"/>
          <w:bCs/>
          <w:color w:val="000000" w:themeColor="text1"/>
          <w:sz w:val="28"/>
          <w:szCs w:val="32"/>
        </w:rPr>
        <w:t>（二）复核部门。我公司对登记购房人提交资料的完整性予以初核，资料齐备并完整的报龙泉驿区房管局复核。</w:t>
      </w:r>
    </w:p>
    <w:p>
      <w:pPr>
        <w:numPr>
          <w:ilvl w:val="255"/>
          <w:numId w:val="0"/>
        </w:numPr>
        <w:spacing w:line="560" w:lineRule="exact"/>
        <w:ind w:firstLine="560" w:firstLineChars="200"/>
        <w:rPr>
          <w:rFonts w:ascii="仿宋" w:hAnsi="仿宋" w:eastAsia="仿宋" w:cs="仿宋_GB2312"/>
          <w:bCs/>
          <w:color w:val="000000" w:themeColor="text1"/>
          <w:sz w:val="28"/>
          <w:szCs w:val="32"/>
        </w:rPr>
      </w:pPr>
    </w:p>
    <w:p>
      <w:pPr>
        <w:pStyle w:val="21"/>
        <w:numPr>
          <w:ilvl w:val="0"/>
          <w:numId w:val="1"/>
        </w:numPr>
        <w:spacing w:line="360" w:lineRule="auto"/>
        <w:ind w:firstLineChars="0"/>
        <w:rPr>
          <w:rFonts w:ascii="仿宋" w:hAnsi="仿宋" w:eastAsia="仿宋"/>
          <w:b/>
          <w:sz w:val="32"/>
          <w:szCs w:val="28"/>
        </w:rPr>
      </w:pPr>
      <w:r>
        <w:rPr>
          <w:rFonts w:hint="eastAsia" w:ascii="仿宋" w:hAnsi="仿宋" w:eastAsia="仿宋"/>
          <w:b/>
          <w:sz w:val="32"/>
          <w:szCs w:val="28"/>
        </w:rPr>
        <w:t>证据保全公证</w:t>
      </w:r>
    </w:p>
    <w:p>
      <w:pPr>
        <w:numPr>
          <w:ilvl w:val="255"/>
          <w:numId w:val="0"/>
        </w:numPr>
        <w:spacing w:line="560" w:lineRule="exact"/>
        <w:ind w:firstLine="560" w:firstLineChars="200"/>
        <w:rPr>
          <w:rFonts w:ascii="仿宋" w:hAnsi="仿宋" w:eastAsia="仿宋"/>
          <w:sz w:val="28"/>
          <w:szCs w:val="28"/>
        </w:rPr>
      </w:pPr>
      <w:r>
        <w:rPr>
          <w:rFonts w:hint="eastAsia" w:ascii="仿宋" w:hAnsi="仿宋" w:eastAsia="仿宋" w:cs="仿宋_GB2312"/>
          <w:bCs/>
          <w:color w:val="000000" w:themeColor="text1"/>
          <w:sz w:val="28"/>
          <w:szCs w:val="32"/>
        </w:rPr>
        <w:t>购房资格复核工作完成后，我公司将及时将</w:t>
      </w:r>
      <w:r>
        <w:rPr>
          <w:rFonts w:hint="eastAsia" w:ascii="仿宋" w:hAnsi="仿宋" w:eastAsia="仿宋"/>
          <w:sz w:val="28"/>
          <w:szCs w:val="28"/>
        </w:rPr>
        <w:t>《棚改住户登记购房名册》和《普通登记购房人名册》报公证机构予以公证证据保全，包括汇总的初始名册和复核后的名册。</w:t>
      </w:r>
    </w:p>
    <w:p>
      <w:pPr>
        <w:numPr>
          <w:ilvl w:val="255"/>
          <w:numId w:val="0"/>
        </w:numPr>
        <w:spacing w:line="560" w:lineRule="exact"/>
        <w:ind w:firstLine="560" w:firstLineChars="200"/>
        <w:rPr>
          <w:rFonts w:ascii="仿宋" w:hAnsi="仿宋" w:eastAsia="仿宋" w:cs="仿宋_GB2312"/>
          <w:bCs/>
          <w:color w:val="000000" w:themeColor="text1"/>
          <w:sz w:val="28"/>
          <w:szCs w:val="32"/>
        </w:rPr>
      </w:pPr>
    </w:p>
    <w:p>
      <w:pPr>
        <w:pStyle w:val="21"/>
        <w:numPr>
          <w:ilvl w:val="0"/>
          <w:numId w:val="1"/>
        </w:numPr>
        <w:spacing w:line="360" w:lineRule="auto"/>
        <w:ind w:firstLineChars="0"/>
        <w:rPr>
          <w:rFonts w:ascii="仿宋" w:hAnsi="仿宋" w:eastAsia="仿宋"/>
          <w:b/>
          <w:sz w:val="32"/>
          <w:szCs w:val="28"/>
        </w:rPr>
      </w:pPr>
      <w:r>
        <w:rPr>
          <w:rFonts w:ascii="仿宋" w:hAnsi="仿宋" w:eastAsia="仿宋"/>
          <w:b/>
          <w:sz w:val="32"/>
          <w:szCs w:val="28"/>
        </w:rPr>
        <w:t>名册公示</w:t>
      </w:r>
    </w:p>
    <w:p>
      <w:pPr>
        <w:spacing w:line="560" w:lineRule="exact"/>
        <w:ind w:firstLine="560" w:firstLineChars="200"/>
        <w:rPr>
          <w:rFonts w:ascii="仿宋" w:hAnsi="仿宋" w:eastAsia="仿宋" w:cs="仿宋_GB2312"/>
          <w:bCs/>
          <w:color w:val="000000" w:themeColor="text1"/>
          <w:sz w:val="28"/>
          <w:szCs w:val="32"/>
        </w:rPr>
      </w:pPr>
      <w:r>
        <w:rPr>
          <w:rFonts w:hint="eastAsia" w:ascii="仿宋" w:hAnsi="仿宋" w:eastAsia="仿宋" w:cs="仿宋_GB2312"/>
          <w:bCs/>
          <w:color w:val="000000" w:themeColor="text1"/>
          <w:sz w:val="28"/>
          <w:szCs w:val="32"/>
        </w:rPr>
        <w:t>（一）公示时间：公证摇号前3日至选房结束</w:t>
      </w:r>
    </w:p>
    <w:p>
      <w:pPr>
        <w:numPr>
          <w:ilvl w:val="255"/>
          <w:numId w:val="0"/>
        </w:numPr>
        <w:spacing w:line="560" w:lineRule="exact"/>
        <w:ind w:firstLine="560" w:firstLineChars="200"/>
        <w:rPr>
          <w:rFonts w:ascii="仿宋" w:hAnsi="仿宋" w:eastAsia="仿宋" w:cs="仿宋_GB2312"/>
          <w:bCs/>
          <w:color w:val="000000" w:themeColor="text1"/>
          <w:sz w:val="28"/>
          <w:szCs w:val="32"/>
        </w:rPr>
      </w:pPr>
      <w:r>
        <w:rPr>
          <w:rFonts w:hint="eastAsia" w:ascii="仿宋" w:hAnsi="仿宋" w:eastAsia="仿宋" w:cs="仿宋_GB2312"/>
          <w:bCs/>
          <w:color w:val="000000" w:themeColor="text1"/>
          <w:sz w:val="28"/>
          <w:szCs w:val="32"/>
        </w:rPr>
        <w:t>（二）</w:t>
      </w:r>
      <w:r>
        <w:rPr>
          <w:rFonts w:ascii="仿宋" w:hAnsi="仿宋" w:eastAsia="仿宋" w:cs="仿宋_GB2312"/>
          <w:bCs/>
          <w:color w:val="000000" w:themeColor="text1"/>
          <w:sz w:val="28"/>
          <w:szCs w:val="32"/>
        </w:rPr>
        <w:t>公示地点</w:t>
      </w:r>
      <w:r>
        <w:rPr>
          <w:rFonts w:hint="eastAsia" w:ascii="仿宋" w:hAnsi="仿宋" w:eastAsia="仿宋" w:cs="仿宋_GB2312"/>
          <w:bCs/>
          <w:color w:val="000000" w:themeColor="text1"/>
          <w:sz w:val="28"/>
          <w:szCs w:val="32"/>
        </w:rPr>
        <w:t>：华润云庭销售中心现场、华润置地成都公司官方微信公众号（华润置地成都公司；微信号：cdhrgjsq）</w:t>
      </w:r>
    </w:p>
    <w:p>
      <w:pPr>
        <w:spacing w:line="560" w:lineRule="exact"/>
        <w:rPr>
          <w:rFonts w:ascii="仿宋" w:hAnsi="仿宋" w:eastAsia="仿宋" w:cs="仿宋_GB2312"/>
          <w:bCs/>
          <w:color w:val="000000" w:themeColor="text1"/>
          <w:sz w:val="28"/>
          <w:szCs w:val="32"/>
        </w:rPr>
      </w:pPr>
      <w:r>
        <w:rPr>
          <w:rFonts w:hint="eastAsia" w:ascii="仿宋" w:hAnsi="仿宋" w:eastAsia="仿宋" w:cs="仿宋_GB2312"/>
          <w:bCs/>
          <w:color w:val="000000" w:themeColor="text1"/>
          <w:sz w:val="28"/>
          <w:szCs w:val="32"/>
        </w:rPr>
        <w:t xml:space="preserve"> </w:t>
      </w:r>
      <w:r>
        <w:rPr>
          <w:rFonts w:ascii="仿宋" w:hAnsi="仿宋" w:eastAsia="仿宋" w:cs="仿宋_GB2312"/>
          <w:bCs/>
          <w:color w:val="000000" w:themeColor="text1"/>
          <w:sz w:val="28"/>
          <w:szCs w:val="32"/>
        </w:rPr>
        <w:t xml:space="preserve">   </w:t>
      </w:r>
      <w:r>
        <w:rPr>
          <w:rFonts w:hint="eastAsia" w:ascii="仿宋" w:hAnsi="仿宋" w:eastAsia="仿宋" w:cs="仿宋_GB2312"/>
          <w:bCs/>
          <w:color w:val="000000" w:themeColor="text1"/>
          <w:sz w:val="28"/>
          <w:szCs w:val="32"/>
        </w:rPr>
        <w:t>（三）公示内容：</w:t>
      </w:r>
      <w:r>
        <w:rPr>
          <w:rFonts w:hint="eastAsia" w:ascii="仿宋" w:hAnsi="仿宋" w:eastAsia="仿宋"/>
          <w:sz w:val="28"/>
          <w:szCs w:val="28"/>
        </w:rPr>
        <w:t>《棚改住户登记购房名册》和《普通登记购房人名册》，包括汇总的初始名册和复核后的名册。(将姓名中的姓氏做隐藏处理，身份证隐去8位出生年月日，其他证件做相应的隐藏处理)。</w:t>
      </w:r>
    </w:p>
    <w:p>
      <w:pPr>
        <w:numPr>
          <w:ilvl w:val="255"/>
          <w:numId w:val="0"/>
        </w:numPr>
        <w:spacing w:line="560" w:lineRule="exact"/>
        <w:ind w:firstLine="560" w:firstLineChars="200"/>
        <w:rPr>
          <w:rFonts w:ascii="仿宋_GB2312" w:hAnsi="仿宋_GB2312" w:eastAsia="仿宋_GB2312" w:cs="仿宋_GB2312"/>
          <w:sz w:val="28"/>
          <w:szCs w:val="28"/>
        </w:rPr>
      </w:pPr>
    </w:p>
    <w:p>
      <w:pPr>
        <w:pStyle w:val="21"/>
        <w:numPr>
          <w:ilvl w:val="0"/>
          <w:numId w:val="1"/>
        </w:numPr>
        <w:spacing w:line="360" w:lineRule="auto"/>
        <w:ind w:firstLineChars="0"/>
        <w:rPr>
          <w:rFonts w:ascii="仿宋" w:hAnsi="仿宋" w:eastAsia="仿宋"/>
          <w:b/>
          <w:sz w:val="32"/>
          <w:szCs w:val="28"/>
        </w:rPr>
      </w:pPr>
      <w:r>
        <w:rPr>
          <w:rFonts w:hint="eastAsia" w:ascii="仿宋" w:hAnsi="仿宋" w:eastAsia="仿宋"/>
          <w:b/>
          <w:sz w:val="32"/>
          <w:szCs w:val="28"/>
        </w:rPr>
        <w:t>注意事项</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一）请登记购房人真实填报登记信息。登记购房人提供虚假信息或者复核条件参与摇号连续2次不参与按序选房的，我公司将提请行业协会在相关网站曝光；涉及房地产从业人员的，提请行业协会予以通报批评并记入信用档案；购房登记平台一年内不受理上述人员填报信息。</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二）请登记购房人认真填报登记信息，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（三）举报电话：如果您发现我公司或委托的中介机构有下列行为的，请及时向我公司或房地产行政主管部门举报：</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1.设置仅有利于房地产开发企业或中介结构内部、全款支付等部分购房人的登记条件；</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2.设置捆绑销售、挂牌价外收费等不利于购房人的登记条件；</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ascii="仿宋_GB2312" w:hAnsi="仿宋_GB2312" w:eastAsia="仿宋_GB2312" w:cs="仿宋_GB2312"/>
          <w:color w:val="000000" w:themeColor="text1"/>
          <w:sz w:val="28"/>
          <w:szCs w:val="28"/>
        </w:rPr>
        <w:t>3.公司员工或委托机构员工强制或私自收取排号费</w:t>
      </w:r>
      <w:r>
        <w:rPr>
          <w:rFonts w:hint="eastAsia" w:ascii="仿宋_GB2312" w:hAnsi="仿宋_GB2312" w:eastAsia="仿宋_GB2312" w:cs="仿宋_GB2312"/>
          <w:color w:val="000000" w:themeColor="text1"/>
          <w:sz w:val="28"/>
          <w:szCs w:val="28"/>
        </w:rPr>
        <w:t>，</w:t>
      </w:r>
      <w:r>
        <w:rPr>
          <w:rFonts w:ascii="仿宋_GB2312" w:hAnsi="仿宋_GB2312" w:eastAsia="仿宋_GB2312" w:cs="仿宋_GB2312"/>
          <w:color w:val="000000" w:themeColor="text1"/>
          <w:sz w:val="28"/>
          <w:szCs w:val="28"/>
        </w:rPr>
        <w:t>渠道费</w:t>
      </w:r>
      <w:r>
        <w:rPr>
          <w:rFonts w:hint="eastAsia" w:ascii="仿宋_GB2312" w:hAnsi="仿宋_GB2312" w:eastAsia="仿宋_GB2312" w:cs="仿宋_GB2312"/>
          <w:color w:val="000000" w:themeColor="text1"/>
          <w:sz w:val="28"/>
          <w:szCs w:val="28"/>
        </w:rPr>
        <w:t>，诚意金或其他预订款性质费用；</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ascii="仿宋_GB2312" w:hAnsi="仿宋_GB2312" w:eastAsia="仿宋_GB2312" w:cs="仿宋_GB2312"/>
          <w:color w:val="000000" w:themeColor="text1"/>
          <w:sz w:val="28"/>
          <w:szCs w:val="28"/>
        </w:rPr>
        <w:t>4.提供或协助登记购房人出具虚假购房资格材料</w:t>
      </w:r>
      <w:r>
        <w:rPr>
          <w:rFonts w:hint="eastAsia" w:ascii="仿宋_GB2312" w:hAnsi="仿宋_GB2312" w:eastAsia="仿宋_GB2312" w:cs="仿宋_GB2312"/>
          <w:color w:val="000000" w:themeColor="text1"/>
          <w:sz w:val="28"/>
          <w:szCs w:val="28"/>
        </w:rPr>
        <w:t>；</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5.要求登记购房人到指定的银行打印银行存单或账户交易明细；</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6.要求登记购房人打印的银行存单或账户交易明细等高于意向房源首付款；</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7.对符合登记条件的意向购房人不予登记；</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sz w:val="28"/>
          <w:szCs w:val="28"/>
        </w:rPr>
        <w:t>8.其他违法违规行为。</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ascii="仿宋_GB2312" w:hAnsi="仿宋_GB2312" w:eastAsia="仿宋_GB2312" w:cs="仿宋_GB2312"/>
          <w:color w:val="000000" w:themeColor="text1"/>
          <w:sz w:val="28"/>
          <w:szCs w:val="28"/>
        </w:rPr>
        <w:t>华润置地</w:t>
      </w:r>
      <w:r>
        <w:rPr>
          <w:rFonts w:hint="eastAsia" w:ascii="仿宋_GB2312" w:hAnsi="仿宋_GB2312" w:eastAsia="仿宋_GB2312" w:cs="仿宋_GB2312"/>
          <w:color w:val="000000" w:themeColor="text1"/>
          <w:sz w:val="28"/>
          <w:szCs w:val="28"/>
        </w:rPr>
        <w:t>（成都）有限</w:t>
      </w:r>
      <w:r>
        <w:rPr>
          <w:rFonts w:ascii="仿宋_GB2312" w:hAnsi="仿宋_GB2312" w:eastAsia="仿宋_GB2312" w:cs="仿宋_GB2312"/>
          <w:color w:val="000000" w:themeColor="text1"/>
          <w:sz w:val="28"/>
          <w:szCs w:val="28"/>
        </w:rPr>
        <w:t>公司举报电话</w:t>
      </w:r>
      <w:r>
        <w:rPr>
          <w:rFonts w:hint="eastAsia" w:ascii="仿宋_GB2312" w:hAnsi="仿宋_GB2312" w:eastAsia="仿宋_GB2312" w:cs="仿宋_GB2312"/>
          <w:color w:val="000000" w:themeColor="text1"/>
          <w:sz w:val="28"/>
          <w:szCs w:val="28"/>
        </w:rPr>
        <w:t>：4001099888</w:t>
      </w:r>
    </w:p>
    <w:p>
      <w:pPr>
        <w:numPr>
          <w:ilvl w:val="255"/>
          <w:numId w:val="0"/>
        </w:numPr>
        <w:spacing w:line="560" w:lineRule="exact"/>
        <w:ind w:firstLine="560" w:firstLineChars="200"/>
        <w:rPr>
          <w:rFonts w:ascii="仿宋_GB2312" w:hAnsi="仿宋_GB2312" w:eastAsia="仿宋_GB2312" w:cs="仿宋_GB2312"/>
          <w:color w:val="000000" w:themeColor="text1"/>
          <w:sz w:val="28"/>
          <w:szCs w:val="28"/>
        </w:rPr>
      </w:pPr>
      <w:r>
        <w:rPr>
          <w:rFonts w:ascii="仿宋_GB2312" w:hAnsi="仿宋_GB2312" w:eastAsia="仿宋_GB2312" w:cs="仿宋_GB2312"/>
          <w:color w:val="000000" w:themeColor="text1"/>
          <w:sz w:val="28"/>
          <w:szCs w:val="28"/>
        </w:rPr>
        <w:t>成都市龙泉驿区房管局举报电话</w:t>
      </w:r>
      <w:r>
        <w:rPr>
          <w:rFonts w:hint="eastAsia" w:ascii="仿宋_GB2312" w:hAnsi="仿宋_GB2312" w:eastAsia="仿宋_GB2312" w:cs="仿宋_GB2312"/>
          <w:color w:val="000000" w:themeColor="text1"/>
          <w:sz w:val="28"/>
          <w:szCs w:val="28"/>
        </w:rPr>
        <w:t>：028-84873588</w:t>
      </w:r>
    </w:p>
    <w:p>
      <w:pPr>
        <w:spacing w:line="360" w:lineRule="auto"/>
        <w:ind w:right="1400"/>
        <w:rPr>
          <w:rFonts w:ascii="仿宋" w:hAnsi="仿宋" w:eastAsia="仿宋"/>
          <w:sz w:val="28"/>
          <w:szCs w:val="28"/>
        </w:rPr>
      </w:pPr>
      <w:r>
        <w:rPr>
          <w:rFonts w:ascii="仿宋" w:hAnsi="仿宋" w:eastAsia="仿宋"/>
          <w:sz w:val="28"/>
          <w:szCs w:val="28"/>
        </w:rPr>
        <w:t>附件</w:t>
      </w:r>
      <w:r>
        <w:rPr>
          <w:rFonts w:hint="eastAsia" w:ascii="仿宋" w:hAnsi="仿宋" w:eastAsia="仿宋"/>
          <w:sz w:val="28"/>
          <w:szCs w:val="28"/>
        </w:rPr>
        <w:t>：1. 资格核验现场布置图</w:t>
      </w:r>
    </w:p>
    <w:p>
      <w:pPr>
        <w:spacing w:line="360" w:lineRule="auto"/>
        <w:ind w:right="1400"/>
        <w:rPr>
          <w:rFonts w:ascii="仿宋" w:hAnsi="仿宋" w:eastAsia="仿宋"/>
          <w:sz w:val="28"/>
          <w:szCs w:val="28"/>
        </w:rPr>
      </w:pPr>
      <w:r>
        <w:rPr>
          <w:rFonts w:hint="eastAsia" w:ascii="仿宋" w:hAnsi="仿宋" w:eastAsia="仿宋"/>
          <w:sz w:val="28"/>
          <w:szCs w:val="28"/>
        </w:rPr>
        <w:t xml:space="preserve">      2. 稳定就业证明</w:t>
      </w:r>
    </w:p>
    <w:p>
      <w:pPr>
        <w:spacing w:line="360" w:lineRule="auto"/>
        <w:ind w:right="1400"/>
        <w:rPr>
          <w:rFonts w:ascii="仿宋" w:hAnsi="仿宋" w:eastAsia="仿宋"/>
          <w:sz w:val="28"/>
          <w:szCs w:val="28"/>
        </w:rPr>
      </w:pPr>
      <w:r>
        <w:rPr>
          <w:rFonts w:hint="eastAsia" w:ascii="仿宋" w:hAnsi="仿宋" w:eastAsia="仿宋"/>
          <w:sz w:val="28"/>
          <w:szCs w:val="28"/>
        </w:rPr>
        <w:t xml:space="preserve">      3．资料提交审核清单</w:t>
      </w:r>
    </w:p>
    <w:p>
      <w:pPr>
        <w:spacing w:line="360" w:lineRule="auto"/>
        <w:ind w:right="1400"/>
        <w:rPr>
          <w:rFonts w:ascii="仿宋" w:hAnsi="仿宋" w:eastAsia="仿宋"/>
          <w:sz w:val="28"/>
          <w:szCs w:val="28"/>
        </w:rPr>
      </w:pPr>
      <w:r>
        <w:rPr>
          <w:rFonts w:hint="eastAsia" w:ascii="仿宋" w:hAnsi="仿宋" w:eastAsia="仿宋"/>
          <w:sz w:val="28"/>
          <w:szCs w:val="28"/>
        </w:rPr>
        <w:t xml:space="preserve">      4. 购房资格现场核验应急处置预案</w:t>
      </w:r>
    </w:p>
    <w:p>
      <w:pPr>
        <w:spacing w:line="360" w:lineRule="auto"/>
        <w:ind w:right="1400"/>
        <w:rPr>
          <w:rFonts w:ascii="仿宋" w:hAnsi="仿宋" w:eastAsia="仿宋"/>
          <w:sz w:val="28"/>
          <w:szCs w:val="28"/>
        </w:rPr>
      </w:pPr>
      <w:r>
        <w:rPr>
          <w:rFonts w:ascii="仿宋" w:hAnsi="仿宋" w:eastAsia="仿宋"/>
          <w:sz w:val="28"/>
          <w:szCs w:val="28"/>
        </w:rPr>
        <w:t>附件</w:t>
      </w:r>
      <w:r>
        <w:rPr>
          <w:rFonts w:hint="eastAsia" w:ascii="仿宋" w:hAnsi="仿宋" w:eastAsia="仿宋"/>
          <w:sz w:val="28"/>
          <w:szCs w:val="28"/>
        </w:rPr>
        <w:t>1：资格核验现场布置图</w:t>
      </w:r>
    </w:p>
    <w:p>
      <w:pPr>
        <w:spacing w:line="360" w:lineRule="auto"/>
        <w:ind w:right="1400"/>
        <w:rPr>
          <w:rFonts w:ascii="仿宋" w:hAnsi="仿宋" w:eastAsia="仿宋"/>
          <w:sz w:val="28"/>
          <w:szCs w:val="28"/>
        </w:rPr>
      </w:pPr>
      <w:r>
        <w:rPr>
          <w:rFonts w:ascii="仿宋" w:hAnsi="仿宋" w:eastAsia="仿宋" w:cs="Arial Unicode MS"/>
          <w:sz w:val="28"/>
          <w:szCs w:val="28"/>
        </w:rPr>
        <w:drawing>
          <wp:inline distT="0" distB="0" distL="0" distR="0">
            <wp:extent cx="5274310" cy="3496945"/>
            <wp:effectExtent l="0" t="0" r="0" b="0"/>
            <wp:docPr id="4" name="图片 4" descr="C:\Users\ADMINI~1\AppData\Local\Temp\WeChat Files\2593670459486677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WeChat Files\259367045948667763.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74310" cy="3496945"/>
                    </a:xfrm>
                    <a:prstGeom prst="rect">
                      <a:avLst/>
                    </a:prstGeom>
                    <a:noFill/>
                    <a:ln>
                      <a:noFill/>
                    </a:ln>
                  </pic:spPr>
                </pic:pic>
              </a:graphicData>
            </a:graphic>
          </wp:inline>
        </w:drawing>
      </w:r>
    </w:p>
    <w:p>
      <w:pPr>
        <w:spacing w:line="360" w:lineRule="auto"/>
        <w:ind w:right="1400"/>
        <w:rPr>
          <w:rFonts w:ascii="仿宋" w:hAnsi="仿宋" w:eastAsia="仿宋"/>
          <w:sz w:val="28"/>
          <w:szCs w:val="28"/>
        </w:rPr>
      </w:pPr>
      <w:r>
        <w:rPr>
          <w:rFonts w:hint="eastAsia" w:ascii="仿宋" w:hAnsi="仿宋" w:eastAsia="仿宋"/>
          <w:sz w:val="28"/>
          <w:szCs w:val="28"/>
        </w:rPr>
        <w:t>附件2：稳定就业证明样式</w:t>
      </w:r>
    </w:p>
    <w:p>
      <w:pPr>
        <w:spacing w:line="360" w:lineRule="auto"/>
        <w:ind w:right="1400"/>
        <w:jc w:val="center"/>
        <w:rPr>
          <w:rFonts w:ascii="仿宋" w:hAnsi="仿宋" w:eastAsia="仿宋"/>
          <w:sz w:val="28"/>
          <w:szCs w:val="28"/>
        </w:rPr>
      </w:pPr>
      <w:r>
        <w:rPr>
          <w:rFonts w:hint="eastAsia" w:ascii="仿宋" w:hAnsi="仿宋" w:eastAsia="仿宋"/>
          <w:sz w:val="28"/>
          <w:szCs w:val="28"/>
        </w:rPr>
        <w:t>稳定就业证明</w:t>
      </w:r>
    </w:p>
    <w:p>
      <w:pPr>
        <w:spacing w:line="360" w:lineRule="auto"/>
        <w:ind w:right="1400" w:firstLine="560" w:firstLineChars="200"/>
        <w:rPr>
          <w:rFonts w:ascii="仿宋" w:hAnsi="仿宋" w:eastAsia="仿宋"/>
          <w:sz w:val="28"/>
          <w:szCs w:val="28"/>
        </w:rPr>
      </w:pPr>
      <w:r>
        <w:rPr>
          <w:rFonts w:hint="eastAsia" w:ascii="仿宋" w:hAnsi="仿宋" w:eastAsia="仿宋"/>
          <w:sz w:val="28"/>
          <w:szCs w:val="28"/>
        </w:rPr>
        <w:t>姓名</w:t>
      </w:r>
      <w:r>
        <w:rPr>
          <w:rFonts w:ascii="仿宋" w:hAnsi="仿宋" w:eastAsia="仿宋"/>
          <w:sz w:val="28"/>
          <w:szCs w:val="28"/>
        </w:rPr>
        <w:t xml:space="preserve">  </w:t>
      </w:r>
      <w:r>
        <w:rPr>
          <w:rFonts w:hint="eastAsia" w:ascii="仿宋" w:hAnsi="仿宋" w:eastAsia="仿宋"/>
          <w:sz w:val="28"/>
          <w:szCs w:val="28"/>
        </w:rPr>
        <w:t>（身份证号：</w:t>
      </w:r>
      <w:r>
        <w:rPr>
          <w:rFonts w:ascii="仿宋" w:hAnsi="仿宋" w:eastAsia="仿宋"/>
          <w:sz w:val="28"/>
          <w:szCs w:val="28"/>
        </w:rPr>
        <w:t xml:space="preserve">  </w:t>
      </w:r>
      <w:r>
        <w:rPr>
          <w:rFonts w:hint="eastAsia" w:ascii="仿宋" w:hAnsi="仿宋" w:eastAsia="仿宋"/>
          <w:sz w:val="28"/>
          <w:szCs w:val="28"/>
        </w:rPr>
        <w:t>），系我单位工作人员。该同志自</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日起在我单位位于（地址）</w:t>
      </w:r>
      <w:r>
        <w:rPr>
          <w:rFonts w:hint="eastAsia" w:ascii="仿宋" w:hAnsi="仿宋" w:eastAsia="仿宋"/>
          <w:sz w:val="28"/>
          <w:szCs w:val="28"/>
          <w:u w:val="single"/>
        </w:rPr>
        <w:t xml:space="preserve">                                          </w:t>
      </w:r>
      <w:r>
        <w:rPr>
          <w:rFonts w:hint="eastAsia" w:ascii="仿宋" w:hAnsi="仿宋" w:eastAsia="仿宋"/>
          <w:sz w:val="28"/>
          <w:szCs w:val="28"/>
        </w:rPr>
        <w:t xml:space="preserve">        的办公地点连续稳定工作至今。如证明失实，本单位愿意承担由此带来的一切法律后果。</w:t>
      </w:r>
    </w:p>
    <w:p>
      <w:pPr>
        <w:spacing w:line="360" w:lineRule="auto"/>
        <w:ind w:right="1400" w:firstLine="560" w:firstLineChars="200"/>
        <w:rPr>
          <w:rFonts w:ascii="仿宋" w:hAnsi="仿宋" w:eastAsia="仿宋"/>
          <w:sz w:val="28"/>
          <w:szCs w:val="28"/>
        </w:rPr>
      </w:pPr>
      <w:r>
        <w:rPr>
          <w:rFonts w:hint="eastAsia" w:ascii="仿宋" w:hAnsi="仿宋" w:eastAsia="仿宋"/>
          <w:sz w:val="28"/>
          <w:szCs w:val="28"/>
        </w:rPr>
        <w:t>特此证明。</w:t>
      </w:r>
    </w:p>
    <w:p>
      <w:pPr>
        <w:spacing w:line="360" w:lineRule="auto"/>
        <w:ind w:right="1400" w:firstLine="560" w:firstLineChars="200"/>
        <w:rPr>
          <w:rFonts w:ascii="仿宋" w:hAnsi="仿宋" w:eastAsia="仿宋"/>
          <w:sz w:val="28"/>
          <w:szCs w:val="28"/>
        </w:rPr>
      </w:pPr>
      <w:r>
        <w:rPr>
          <w:rFonts w:hint="eastAsia" w:ascii="仿宋" w:hAnsi="仿宋" w:eastAsia="仿宋"/>
          <w:sz w:val="28"/>
          <w:szCs w:val="28"/>
        </w:rPr>
        <w:t>（此证明仅用于该工作人员购买住房进行限购审查）</w:t>
      </w:r>
    </w:p>
    <w:p>
      <w:pPr>
        <w:spacing w:line="360" w:lineRule="auto"/>
        <w:ind w:right="2520" w:firstLine="4200" w:firstLineChars="1500"/>
        <w:rPr>
          <w:rFonts w:ascii="仿宋" w:hAnsi="仿宋" w:eastAsia="仿宋"/>
          <w:sz w:val="28"/>
          <w:szCs w:val="28"/>
        </w:rPr>
      </w:pPr>
      <w:r>
        <w:rPr>
          <w:rFonts w:hint="eastAsia" w:ascii="仿宋" w:hAnsi="仿宋" w:eastAsia="仿宋"/>
          <w:sz w:val="28"/>
          <w:szCs w:val="28"/>
        </w:rPr>
        <w:t>单位公章</w:t>
      </w:r>
    </w:p>
    <w:p>
      <w:pPr>
        <w:spacing w:line="360" w:lineRule="auto"/>
        <w:ind w:right="1400"/>
        <w:rPr>
          <w:rFonts w:ascii="仿宋" w:hAnsi="仿宋" w:eastAsia="仿宋"/>
          <w:sz w:val="28"/>
          <w:szCs w:val="28"/>
        </w:rPr>
      </w:pPr>
      <w:r>
        <w:rPr>
          <w:rFonts w:hint="eastAsia" w:ascii="仿宋" w:hAnsi="仿宋" w:eastAsia="仿宋"/>
          <w:sz w:val="28"/>
          <w:szCs w:val="28"/>
        </w:rPr>
        <w:t xml:space="preserve">                              年 月 日</w:t>
      </w:r>
    </w:p>
    <w:p>
      <w:pPr>
        <w:spacing w:line="360" w:lineRule="auto"/>
        <w:rPr>
          <w:rFonts w:ascii="仿宋" w:hAnsi="仿宋" w:eastAsia="仿宋"/>
          <w:sz w:val="28"/>
          <w:szCs w:val="28"/>
        </w:rPr>
      </w:pPr>
      <w:r>
        <w:rPr>
          <w:rFonts w:ascii="仿宋" w:hAnsi="仿宋" w:eastAsia="仿宋"/>
          <w:sz w:val="28"/>
          <w:szCs w:val="28"/>
        </w:rPr>
        <w:t>附件</w:t>
      </w:r>
      <w:r>
        <w:rPr>
          <w:rFonts w:hint="eastAsia" w:ascii="仿宋" w:hAnsi="仿宋" w:eastAsia="仿宋"/>
          <w:sz w:val="28"/>
          <w:szCs w:val="28"/>
        </w:rPr>
        <w:t>3</w:t>
      </w:r>
      <w:r>
        <w:rPr>
          <w:rFonts w:ascii="仿宋" w:hAnsi="仿宋" w:eastAsia="仿宋"/>
          <w:sz w:val="28"/>
          <w:szCs w:val="28"/>
        </w:rPr>
        <w:t>. 资料提交审核清单</w:t>
      </w:r>
    </w:p>
    <w:tbl>
      <w:tblPr>
        <w:tblStyle w:val="16"/>
        <w:tblW w:w="9180" w:type="dxa"/>
        <w:tblInd w:w="93" w:type="dxa"/>
        <w:tblLayout w:type="fixed"/>
        <w:tblCellMar>
          <w:top w:w="0" w:type="dxa"/>
          <w:left w:w="108" w:type="dxa"/>
          <w:bottom w:w="0" w:type="dxa"/>
          <w:right w:w="108" w:type="dxa"/>
        </w:tblCellMar>
      </w:tblPr>
      <w:tblGrid>
        <w:gridCol w:w="1580"/>
        <w:gridCol w:w="1480"/>
        <w:gridCol w:w="3901"/>
        <w:gridCol w:w="2219"/>
      </w:tblGrid>
      <w:tr>
        <w:tblPrEx>
          <w:tblLayout w:type="fixed"/>
          <w:tblCellMar>
            <w:top w:w="0" w:type="dxa"/>
            <w:left w:w="108" w:type="dxa"/>
            <w:bottom w:w="0" w:type="dxa"/>
            <w:right w:w="108" w:type="dxa"/>
          </w:tblCellMar>
        </w:tblPrEx>
        <w:trPr>
          <w:trHeight w:val="390" w:hRule="atLeast"/>
        </w:trPr>
        <w:tc>
          <w:tcPr>
            <w:tcW w:w="9180"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资料提交审核清单</w:t>
            </w:r>
          </w:p>
        </w:tc>
      </w:tr>
      <w:tr>
        <w:tblPrEx>
          <w:tblLayout w:type="fixed"/>
          <w:tblCellMar>
            <w:top w:w="0" w:type="dxa"/>
            <w:left w:w="108" w:type="dxa"/>
            <w:bottom w:w="0" w:type="dxa"/>
            <w:right w:w="108" w:type="dxa"/>
          </w:tblCellMar>
        </w:tblPrEx>
        <w:trPr>
          <w:trHeight w:val="390" w:hRule="atLeast"/>
        </w:trPr>
        <w:tc>
          <w:tcPr>
            <w:tcW w:w="1580" w:type="dxa"/>
            <w:tcBorders>
              <w:top w:val="nil"/>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客户分类</w:t>
            </w:r>
          </w:p>
        </w:tc>
        <w:tc>
          <w:tcPr>
            <w:tcW w:w="1480"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情况分类</w:t>
            </w:r>
          </w:p>
        </w:tc>
        <w:tc>
          <w:tcPr>
            <w:tcW w:w="3901"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资料类别</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收取要求</w:t>
            </w:r>
          </w:p>
        </w:tc>
      </w:tr>
      <w:tr>
        <w:tblPrEx>
          <w:tblLayout w:type="fixed"/>
          <w:tblCellMar>
            <w:top w:w="0" w:type="dxa"/>
            <w:left w:w="108" w:type="dxa"/>
            <w:bottom w:w="0" w:type="dxa"/>
            <w:right w:w="108" w:type="dxa"/>
          </w:tblCellMar>
        </w:tblPrEx>
        <w:trPr>
          <w:trHeight w:val="765" w:hRule="atLeast"/>
        </w:trPr>
        <w:tc>
          <w:tcPr>
            <w:tcW w:w="15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所有客户</w:t>
            </w: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通用资料</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1、身份证</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shd w:val="clear" w:color="auto" w:fill="auto"/>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2、查房证明</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w:t>
            </w:r>
          </w:p>
        </w:tc>
      </w:tr>
      <w:tr>
        <w:tblPrEx>
          <w:tblLayout w:type="fixed"/>
          <w:tblCellMar>
            <w:top w:w="0" w:type="dxa"/>
            <w:left w:w="108" w:type="dxa"/>
            <w:bottom w:w="0" w:type="dxa"/>
            <w:right w:w="108" w:type="dxa"/>
          </w:tblCellMar>
        </w:tblPrEx>
        <w:trPr>
          <w:trHeight w:val="22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ascii="仿宋" w:hAnsi="仿宋" w:eastAsia="仿宋" w:cs="宋体"/>
                <w:color w:val="000000"/>
                <w:sz w:val="28"/>
                <w:szCs w:val="28"/>
              </w:rPr>
              <w:t>3</w:t>
            </w:r>
            <w:r>
              <w:rPr>
                <w:rFonts w:hint="eastAsia" w:ascii="仿宋" w:hAnsi="仿宋" w:eastAsia="仿宋" w:cs="宋体"/>
                <w:color w:val="000000"/>
                <w:sz w:val="28"/>
                <w:szCs w:val="28"/>
              </w:rPr>
              <w:t>、银行存单或流水：核验之日前1个月内的家庭成员银行存单或账号交易明细等，金额约等于意向房源首付款，首付款按四川省商业性个人住房贷款最低首付款比例确定</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w:t>
            </w:r>
          </w:p>
        </w:tc>
      </w:tr>
      <w:tr>
        <w:tblPrEx>
          <w:tblLayout w:type="fixed"/>
          <w:tblCellMar>
            <w:top w:w="0" w:type="dxa"/>
            <w:left w:w="108" w:type="dxa"/>
            <w:bottom w:w="0" w:type="dxa"/>
            <w:right w:w="108" w:type="dxa"/>
          </w:tblCellMar>
        </w:tblPrEx>
        <w:trPr>
          <w:trHeight w:val="390" w:hRule="atLeast"/>
        </w:trPr>
        <w:tc>
          <w:tcPr>
            <w:tcW w:w="15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按揭客户</w:t>
            </w: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通用资料</w:t>
            </w:r>
          </w:p>
        </w:tc>
        <w:tc>
          <w:tcPr>
            <w:tcW w:w="3901" w:type="dxa"/>
            <w:tcBorders>
              <w:top w:val="nil"/>
              <w:left w:val="nil"/>
              <w:bottom w:val="nil"/>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1、收入证明</w:t>
            </w:r>
          </w:p>
        </w:tc>
        <w:tc>
          <w:tcPr>
            <w:tcW w:w="2219"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核实不收取</w:t>
            </w:r>
          </w:p>
        </w:tc>
      </w:tr>
      <w:tr>
        <w:tblPrEx>
          <w:tblLayout w:type="fixed"/>
          <w:tblCellMar>
            <w:top w:w="0" w:type="dxa"/>
            <w:left w:w="108" w:type="dxa"/>
            <w:bottom w:w="0" w:type="dxa"/>
            <w:right w:w="108" w:type="dxa"/>
          </w:tblCellMar>
        </w:tblPrEx>
        <w:trPr>
          <w:trHeight w:val="1398"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4"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 4）收入补充证明包括：银行流水、存款、车辆行驶证、商铺产权证、股票、基金等）</w:t>
            </w:r>
          </w:p>
        </w:tc>
        <w:tc>
          <w:tcPr>
            <w:tcW w:w="2219"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r>
      <w:tr>
        <w:tblPrEx>
          <w:tblLayout w:type="fixed"/>
          <w:tblCellMar>
            <w:top w:w="0" w:type="dxa"/>
            <w:left w:w="108" w:type="dxa"/>
            <w:bottom w:w="0" w:type="dxa"/>
            <w:right w:w="108" w:type="dxa"/>
          </w:tblCellMar>
        </w:tblPrEx>
        <w:trPr>
          <w:trHeight w:val="2410"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4" w:space="0"/>
            </w:tcBorders>
            <w:vAlign w:val="center"/>
          </w:tcPr>
          <w:p>
            <w:pPr>
              <w:rPr>
                <w:rFonts w:ascii="仿宋" w:hAnsi="仿宋" w:eastAsia="仿宋" w:cs="宋体"/>
                <w:color w:val="000000"/>
                <w:sz w:val="28"/>
                <w:szCs w:val="28"/>
              </w:rPr>
            </w:pPr>
          </w:p>
        </w:tc>
        <w:tc>
          <w:tcPr>
            <w:tcW w:w="39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2、银行流水单</w:t>
            </w:r>
          </w:p>
          <w:p>
            <w:pPr>
              <w:rPr>
                <w:rFonts w:ascii="仿宋" w:hAnsi="仿宋" w:eastAsia="仿宋" w:cs="宋体"/>
                <w:color w:val="000000"/>
                <w:sz w:val="28"/>
                <w:szCs w:val="28"/>
              </w:rPr>
            </w:pPr>
            <w:r>
              <w:rPr>
                <w:rFonts w:hint="eastAsia" w:ascii="仿宋" w:hAnsi="仿宋" w:eastAsia="仿宋" w:cs="宋体"/>
                <w:color w:val="000000"/>
                <w:sz w:val="28"/>
                <w:szCs w:val="28"/>
              </w:rPr>
              <w:t>（夫妻双方均持各自身份证和银行卡到银行柜台开具近半年流水单，并加盖银行业务章）</w:t>
            </w:r>
          </w:p>
        </w:tc>
        <w:tc>
          <w:tcPr>
            <w:tcW w:w="2219" w:type="dxa"/>
            <w:vMerge w:val="continue"/>
            <w:tcBorders>
              <w:top w:val="nil"/>
              <w:left w:val="single" w:color="auto" w:sz="4" w:space="0"/>
              <w:bottom w:val="single" w:color="000000" w:sz="8" w:space="0"/>
              <w:right w:val="single" w:color="auto" w:sz="8" w:space="0"/>
            </w:tcBorders>
            <w:vAlign w:val="center"/>
          </w:tcPr>
          <w:p>
            <w:pPr>
              <w:rPr>
                <w:rFonts w:ascii="仿宋" w:hAnsi="仿宋" w:eastAsia="仿宋" w:cs="宋体"/>
                <w:color w:val="000000"/>
                <w:sz w:val="28"/>
                <w:szCs w:val="28"/>
              </w:rPr>
            </w:pPr>
          </w:p>
        </w:tc>
      </w:tr>
      <w:tr>
        <w:tblPrEx>
          <w:tblLayout w:type="fixed"/>
          <w:tblCellMar>
            <w:top w:w="0" w:type="dxa"/>
            <w:left w:w="108" w:type="dxa"/>
            <w:bottom w:w="0" w:type="dxa"/>
            <w:right w:w="108" w:type="dxa"/>
          </w:tblCellMar>
        </w:tblPrEx>
        <w:trPr>
          <w:trHeight w:val="4004"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4" w:space="0"/>
            </w:tcBorders>
            <w:vAlign w:val="center"/>
          </w:tcPr>
          <w:p>
            <w:pPr>
              <w:rPr>
                <w:rFonts w:ascii="仿宋" w:hAnsi="仿宋" w:eastAsia="仿宋" w:cs="宋体"/>
                <w:color w:val="000000"/>
                <w:sz w:val="28"/>
                <w:szCs w:val="28"/>
              </w:rPr>
            </w:pPr>
          </w:p>
        </w:tc>
        <w:tc>
          <w:tcPr>
            <w:tcW w:w="39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3、征信查询报告</w:t>
            </w:r>
          </w:p>
          <w:p>
            <w:pPr>
              <w:rPr>
                <w:rFonts w:ascii="仿宋" w:hAnsi="仿宋" w:eastAsia="仿宋" w:cs="宋体"/>
                <w:color w:val="000000"/>
                <w:sz w:val="28"/>
                <w:szCs w:val="28"/>
              </w:rPr>
            </w:pPr>
            <w:r>
              <w:rPr>
                <w:rFonts w:hint="eastAsia" w:ascii="仿宋" w:hAnsi="仿宋" w:eastAsia="仿宋" w:cs="宋体"/>
                <w:color w:val="000000"/>
                <w:sz w:val="28"/>
                <w:szCs w:val="28"/>
              </w:rPr>
              <w:t>（由于真实性问题，网络打印版本不作为核验材料，请本人持身份证原件前往中国人民银行办理，打印时间3个月内有效，买受人所有（成年）人及配偶提供征信报告。）</w:t>
            </w:r>
          </w:p>
        </w:tc>
        <w:tc>
          <w:tcPr>
            <w:tcW w:w="2219" w:type="dxa"/>
            <w:vMerge w:val="continue"/>
            <w:tcBorders>
              <w:top w:val="nil"/>
              <w:left w:val="single" w:color="auto" w:sz="4" w:space="0"/>
              <w:bottom w:val="single" w:color="000000" w:sz="8" w:space="0"/>
              <w:right w:val="single" w:color="auto" w:sz="8" w:space="0"/>
            </w:tcBorders>
            <w:vAlign w:val="center"/>
          </w:tcPr>
          <w:p>
            <w:pPr>
              <w:rPr>
                <w:rFonts w:ascii="仿宋" w:hAnsi="仿宋" w:eastAsia="仿宋" w:cs="宋体"/>
                <w:color w:val="000000"/>
                <w:sz w:val="28"/>
                <w:szCs w:val="28"/>
              </w:rPr>
            </w:pPr>
          </w:p>
        </w:tc>
      </w:tr>
      <w:tr>
        <w:tblPrEx>
          <w:tblLayout w:type="fixed"/>
          <w:tblCellMar>
            <w:top w:w="0" w:type="dxa"/>
            <w:left w:w="108" w:type="dxa"/>
            <w:bottom w:w="0" w:type="dxa"/>
            <w:right w:w="108" w:type="dxa"/>
          </w:tblCellMar>
        </w:tblPrEx>
        <w:trPr>
          <w:trHeight w:val="892"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4" w:space="0"/>
            </w:tcBorders>
            <w:vAlign w:val="center"/>
          </w:tcPr>
          <w:p>
            <w:pPr>
              <w:rPr>
                <w:rFonts w:ascii="仿宋" w:hAnsi="仿宋" w:eastAsia="仿宋" w:cs="宋体"/>
                <w:color w:val="000000"/>
                <w:sz w:val="28"/>
                <w:szCs w:val="28"/>
              </w:rPr>
            </w:pPr>
          </w:p>
        </w:tc>
        <w:tc>
          <w:tcPr>
            <w:tcW w:w="3901" w:type="dxa"/>
            <w:tcBorders>
              <w:top w:val="single" w:color="auto" w:sz="4" w:space="0"/>
              <w:left w:val="single" w:color="auto" w:sz="4" w:space="0"/>
              <w:right w:val="single" w:color="auto" w:sz="4"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4、共同购房关系证明（如夫妻需提供结婚证）</w:t>
            </w:r>
          </w:p>
        </w:tc>
        <w:tc>
          <w:tcPr>
            <w:tcW w:w="2219" w:type="dxa"/>
            <w:tcBorders>
              <w:top w:val="nil"/>
              <w:left w:val="single" w:color="auto" w:sz="4"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single" w:color="auto" w:sz="4" w:space="0"/>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5、户口簿原件（户口簿首页+买受人户口页）</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50" w:hRule="atLeast"/>
        </w:trPr>
        <w:tc>
          <w:tcPr>
            <w:tcW w:w="9180"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除通用资料外五大类别客户根据分类额外提交资料</w:t>
            </w:r>
          </w:p>
        </w:tc>
      </w:tr>
      <w:tr>
        <w:tblPrEx>
          <w:tblLayout w:type="fixed"/>
          <w:tblCellMar>
            <w:top w:w="0" w:type="dxa"/>
            <w:left w:w="108" w:type="dxa"/>
            <w:bottom w:w="0" w:type="dxa"/>
            <w:right w:w="108" w:type="dxa"/>
          </w:tblCellMar>
        </w:tblPrEx>
        <w:trPr>
          <w:trHeight w:val="2640" w:hRule="atLeast"/>
        </w:trPr>
        <w:tc>
          <w:tcPr>
            <w:tcW w:w="15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第一类：有限购区域户籍客户</w:t>
            </w:r>
          </w:p>
        </w:tc>
        <w:tc>
          <w:tcPr>
            <w:tcW w:w="1480"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备案双方名字，双方均为本地户口（前期摇号，须共同登记）</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1、本地户口（户口簿首页+买受人户口页）</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备案未成年的名字</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1、未成年户口（户口簿首页+买受人户口页）</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2、监护人身份证</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3、监护人与被监护人关系证明（户口簿或出生证）</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390" w:hRule="atLeast"/>
        </w:trPr>
        <w:tc>
          <w:tcPr>
            <w:tcW w:w="15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第二类：无限购区域户籍但有社保客户</w:t>
            </w: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企事业单位工作</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1、稳定就业证明</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2、社保清单（单位连续不间断缴纳社保24个月）</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w:t>
            </w:r>
          </w:p>
        </w:tc>
      </w:tr>
      <w:tr>
        <w:tblPrEx>
          <w:tblLayout w:type="fixed"/>
          <w:tblCellMar>
            <w:top w:w="0" w:type="dxa"/>
            <w:left w:w="108" w:type="dxa"/>
            <w:bottom w:w="0" w:type="dxa"/>
            <w:right w:w="108" w:type="dxa"/>
          </w:tblCellMar>
        </w:tblPrEx>
        <w:trPr>
          <w:trHeight w:val="1890"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个体工商户</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1、个体工商户营业执照（1.注册地在限购区域内/2.注册时间满两年/3.注册时间在限购政策之前/4.登记购房人为登记经营人本人）</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2、社保清单（个人连续不间断缴纳社保24个月）</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w:t>
            </w:r>
          </w:p>
        </w:tc>
      </w:tr>
      <w:tr>
        <w:tblPrEx>
          <w:tblLayout w:type="fixed"/>
          <w:tblCellMar>
            <w:top w:w="0" w:type="dxa"/>
            <w:left w:w="108" w:type="dxa"/>
            <w:bottom w:w="0" w:type="dxa"/>
            <w:right w:w="108" w:type="dxa"/>
          </w:tblCellMar>
        </w:tblPrEx>
        <w:trPr>
          <w:trHeight w:val="765" w:hRule="atLeast"/>
        </w:trPr>
        <w:tc>
          <w:tcPr>
            <w:tcW w:w="15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第三类：现役军人</w:t>
            </w: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驻扎地在限购区域</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1、军官证</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151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2、部队驻扎地证明（团级以上单位盖鲜章，证明上必须有“如证明失实，本部承担由此带来的一切法律后果”字样）</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w:t>
            </w:r>
          </w:p>
        </w:tc>
      </w:tr>
      <w:tr>
        <w:tblPrEx>
          <w:tblLayout w:type="fixed"/>
          <w:tblCellMar>
            <w:top w:w="0" w:type="dxa"/>
            <w:left w:w="108" w:type="dxa"/>
            <w:bottom w:w="0" w:type="dxa"/>
            <w:right w:w="108" w:type="dxa"/>
          </w:tblCellMar>
        </w:tblPrEx>
        <w:trPr>
          <w:trHeight w:val="1890" w:hRule="atLeast"/>
        </w:trPr>
        <w:tc>
          <w:tcPr>
            <w:tcW w:w="15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第四类：高端人才</w:t>
            </w:r>
          </w:p>
        </w:tc>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　</w:t>
            </w: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1、高端人才证明</w:t>
            </w:r>
          </w:p>
        </w:tc>
        <w:tc>
          <w:tcPr>
            <w:tcW w:w="2219" w:type="dxa"/>
            <w:tcBorders>
              <w:top w:val="nil"/>
              <w:left w:val="nil"/>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收原件，人才证明由区政府（管委会）出具，通过公文交换的方式传递</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rPr>
                <w:rFonts w:ascii="仿宋" w:hAnsi="仿宋" w:eastAsia="仿宋" w:cs="宋体"/>
                <w:color w:val="000000"/>
                <w:sz w:val="28"/>
                <w:szCs w:val="28"/>
              </w:rPr>
            </w:pPr>
          </w:p>
        </w:tc>
        <w:tc>
          <w:tcPr>
            <w:tcW w:w="3901" w:type="dxa"/>
            <w:tcBorders>
              <w:top w:val="nil"/>
              <w:left w:val="nil"/>
              <w:bottom w:val="single" w:color="auto" w:sz="8" w:space="0"/>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2、人才绿卡</w:t>
            </w:r>
          </w:p>
        </w:tc>
        <w:tc>
          <w:tcPr>
            <w:tcW w:w="2219" w:type="dxa"/>
            <w:tcBorders>
              <w:top w:val="nil"/>
              <w:left w:val="nil"/>
              <w:bottom w:val="nil"/>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核实原件收复印件</w:t>
            </w:r>
          </w:p>
        </w:tc>
      </w:tr>
      <w:tr>
        <w:tblPrEx>
          <w:tblLayout w:type="fixed"/>
          <w:tblCellMar>
            <w:top w:w="0" w:type="dxa"/>
            <w:left w:w="108" w:type="dxa"/>
            <w:bottom w:w="0" w:type="dxa"/>
            <w:right w:w="108" w:type="dxa"/>
          </w:tblCellMar>
        </w:tblPrEx>
        <w:trPr>
          <w:trHeight w:val="4414" w:hRule="atLeast"/>
        </w:trPr>
        <w:tc>
          <w:tcPr>
            <w:tcW w:w="1580" w:type="dxa"/>
            <w:tcBorders>
              <w:top w:val="nil"/>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第五类客户：棚改货币化安置住户购房（2016年10月1日以后生效的货币化安置住户）</w:t>
            </w:r>
          </w:p>
        </w:tc>
        <w:tc>
          <w:tcPr>
            <w:tcW w:w="1480" w:type="dxa"/>
            <w:tcBorders>
              <w:top w:val="nil"/>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　</w:t>
            </w:r>
          </w:p>
        </w:tc>
        <w:tc>
          <w:tcPr>
            <w:tcW w:w="3901" w:type="dxa"/>
            <w:tcBorders>
              <w:top w:val="nil"/>
              <w:left w:val="nil"/>
              <w:right w:val="single" w:color="auto"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1、《成都市国有土地上房屋征收补偿安置合同备案表》</w:t>
            </w:r>
            <w:r>
              <w:rPr>
                <w:rFonts w:hint="eastAsia" w:ascii="仿宋" w:hAnsi="仿宋" w:eastAsia="仿宋"/>
                <w:sz w:val="28"/>
                <w:szCs w:val="28"/>
              </w:rPr>
              <w:t>（货币补偿）</w:t>
            </w:r>
          </w:p>
          <w:p>
            <w:pPr>
              <w:rPr>
                <w:rFonts w:ascii="仿宋" w:hAnsi="仿宋" w:eastAsia="仿宋" w:cs="宋体"/>
                <w:color w:val="000000"/>
                <w:sz w:val="28"/>
                <w:szCs w:val="28"/>
              </w:rPr>
            </w:pPr>
            <w:r>
              <w:rPr>
                <w:rFonts w:hint="eastAsia" w:ascii="仿宋" w:hAnsi="仿宋" w:eastAsia="仿宋" w:cs="宋体"/>
                <w:color w:val="000000"/>
                <w:sz w:val="28"/>
                <w:szCs w:val="28"/>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2219" w:type="dxa"/>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收原件，通过成都市房屋征收系统自助终端机打印并经棚改实施单位加盖公章，打印地址：成都市房产管理局大厅</w:t>
            </w:r>
          </w:p>
        </w:tc>
      </w:tr>
      <w:tr>
        <w:tblPrEx>
          <w:tblLayout w:type="fixed"/>
          <w:tblCellMar>
            <w:top w:w="0" w:type="dxa"/>
            <w:left w:w="108" w:type="dxa"/>
            <w:bottom w:w="0" w:type="dxa"/>
            <w:right w:w="108" w:type="dxa"/>
          </w:tblCellMar>
        </w:tblPrEx>
        <w:trPr>
          <w:trHeight w:val="2098" w:hRule="atLeast"/>
        </w:trPr>
        <w:tc>
          <w:tcPr>
            <w:tcW w:w="1580"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仿宋" w:hAnsi="仿宋" w:eastAsia="仿宋" w:cs="宋体"/>
                <w:color w:val="000000"/>
                <w:sz w:val="28"/>
                <w:szCs w:val="28"/>
              </w:rPr>
            </w:pPr>
            <w:r>
              <w:rPr>
                <w:rFonts w:hint="eastAsia" w:ascii="仿宋" w:hAnsi="仿宋" w:eastAsia="仿宋" w:cs="宋体"/>
                <w:color w:val="000000"/>
                <w:sz w:val="28"/>
                <w:szCs w:val="28"/>
              </w:rPr>
              <w:t>特别说明</w:t>
            </w:r>
          </w:p>
        </w:tc>
        <w:tc>
          <w:tcPr>
            <w:tcW w:w="7600" w:type="dxa"/>
            <w:gridSpan w:val="3"/>
            <w:tcBorders>
              <w:top w:val="single" w:color="auto" w:sz="8" w:space="0"/>
              <w:left w:val="nil"/>
              <w:bottom w:val="single" w:color="auto" w:sz="8" w:space="0"/>
              <w:right w:val="single" w:color="000000"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1、买受人必须符合限购政策，均以自然人为单位，若买受人为多人共同购买，须在前期摇号时，做好共同登记，后期不得变更和增减共有人名字。</w:t>
            </w:r>
          </w:p>
        </w:tc>
      </w:tr>
      <w:tr>
        <w:tblPrEx>
          <w:tblLayout w:type="fixed"/>
          <w:tblCellMar>
            <w:top w:w="0" w:type="dxa"/>
            <w:left w:w="108" w:type="dxa"/>
            <w:bottom w:w="0" w:type="dxa"/>
            <w:right w:w="108" w:type="dxa"/>
          </w:tblCellMar>
        </w:tblPrEx>
        <w:trPr>
          <w:trHeight w:val="2250" w:hRule="atLeast"/>
        </w:trPr>
        <w:tc>
          <w:tcPr>
            <w:tcW w:w="1580" w:type="dxa"/>
            <w:vMerge w:val="continue"/>
            <w:tcBorders>
              <w:top w:val="single" w:color="auto" w:sz="8" w:space="0"/>
              <w:left w:val="single" w:color="auto" w:sz="8" w:space="0"/>
              <w:bottom w:val="single" w:color="auto" w:sz="8" w:space="0"/>
              <w:right w:val="single" w:color="auto" w:sz="8" w:space="0"/>
            </w:tcBorders>
            <w:vAlign w:val="center"/>
          </w:tcPr>
          <w:p>
            <w:pPr>
              <w:rPr>
                <w:rFonts w:ascii="仿宋" w:hAnsi="仿宋" w:eastAsia="仿宋" w:cs="宋体"/>
                <w:color w:val="000000"/>
                <w:sz w:val="28"/>
                <w:szCs w:val="28"/>
              </w:rPr>
            </w:pPr>
          </w:p>
        </w:tc>
        <w:tc>
          <w:tcPr>
            <w:tcW w:w="7600" w:type="dxa"/>
            <w:gridSpan w:val="3"/>
            <w:tcBorders>
              <w:top w:val="single" w:color="auto" w:sz="8" w:space="0"/>
              <w:left w:val="nil"/>
              <w:bottom w:val="single" w:color="auto" w:sz="8" w:space="0"/>
              <w:right w:val="single" w:color="000000"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2、以社保资格购房须满足社保单位注册地均在限购区域且已为购房人不间断缴纳社保24个月，其中个人缴纳部分不得超过六个月。</w:t>
            </w:r>
          </w:p>
        </w:tc>
      </w:tr>
      <w:tr>
        <w:tblPrEx>
          <w:tblLayout w:type="fixed"/>
          <w:tblCellMar>
            <w:top w:w="0" w:type="dxa"/>
            <w:left w:w="108" w:type="dxa"/>
            <w:bottom w:w="0" w:type="dxa"/>
            <w:right w:w="108" w:type="dxa"/>
          </w:tblCellMar>
        </w:tblPrEx>
        <w:trPr>
          <w:trHeight w:val="2250" w:hRule="atLeast"/>
        </w:trPr>
        <w:tc>
          <w:tcPr>
            <w:tcW w:w="1580" w:type="dxa"/>
            <w:vMerge w:val="continue"/>
            <w:tcBorders>
              <w:top w:val="single" w:color="auto" w:sz="8" w:space="0"/>
              <w:left w:val="single" w:color="auto" w:sz="8" w:space="0"/>
              <w:bottom w:val="single" w:color="auto" w:sz="8" w:space="0"/>
              <w:right w:val="single" w:color="auto" w:sz="8" w:space="0"/>
            </w:tcBorders>
            <w:vAlign w:val="center"/>
          </w:tcPr>
          <w:p>
            <w:pPr>
              <w:rPr>
                <w:rFonts w:ascii="仿宋" w:hAnsi="仿宋" w:eastAsia="仿宋" w:cs="宋体"/>
                <w:color w:val="000000"/>
                <w:sz w:val="28"/>
                <w:szCs w:val="28"/>
              </w:rPr>
            </w:pPr>
          </w:p>
        </w:tc>
        <w:tc>
          <w:tcPr>
            <w:tcW w:w="7600" w:type="dxa"/>
            <w:gridSpan w:val="3"/>
            <w:tcBorders>
              <w:top w:val="single" w:color="auto" w:sz="8" w:space="0"/>
              <w:left w:val="nil"/>
              <w:bottom w:val="single" w:color="auto" w:sz="8" w:space="0"/>
              <w:right w:val="single" w:color="000000" w:sz="8" w:space="0"/>
            </w:tcBorders>
            <w:shd w:val="clear" w:color="auto" w:fill="auto"/>
            <w:vAlign w:val="center"/>
          </w:tcPr>
          <w:p>
            <w:pPr>
              <w:rPr>
                <w:rFonts w:ascii="仿宋" w:hAnsi="仿宋" w:eastAsia="仿宋" w:cs="宋体"/>
                <w:color w:val="000000"/>
                <w:sz w:val="28"/>
                <w:szCs w:val="28"/>
              </w:rPr>
            </w:pPr>
            <w:r>
              <w:rPr>
                <w:rFonts w:hint="eastAsia" w:ascii="仿宋" w:hAnsi="仿宋" w:eastAsia="仿宋" w:cs="宋体"/>
                <w:color w:val="000000"/>
                <w:sz w:val="28"/>
                <w:szCs w:val="28"/>
              </w:rPr>
              <w:t>3、在连续缴纳24个月社保期间，购房人存在多个工作单位的，由当前工作单位开具稳定就业证明且前期社保缴纳单位是在限购区域内。</w:t>
            </w:r>
          </w:p>
        </w:tc>
      </w:tr>
    </w:tbl>
    <w:p>
      <w:pPr>
        <w:spacing w:line="360" w:lineRule="auto"/>
        <w:ind w:right="1400"/>
        <w:rPr>
          <w:rFonts w:ascii="仿宋" w:hAnsi="仿宋" w:eastAsia="仿宋"/>
          <w:sz w:val="28"/>
          <w:szCs w:val="28"/>
        </w:rPr>
      </w:pPr>
    </w:p>
    <w:p>
      <w:pPr>
        <w:spacing w:line="360" w:lineRule="auto"/>
        <w:ind w:right="1400"/>
        <w:jc w:val="right"/>
        <w:rPr>
          <w:rFonts w:ascii="仿宋" w:hAnsi="仿宋" w:eastAsia="仿宋"/>
          <w:sz w:val="28"/>
          <w:szCs w:val="28"/>
        </w:rPr>
      </w:pPr>
      <w:bookmarkStart w:id="2" w:name="_GoBack"/>
      <w:bookmarkEnd w:id="2"/>
    </w:p>
    <w:sectPr>
      <w:headerReference r:id="rId3" w:type="default"/>
      <w:footerReference r:id="rId4"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仿宋_GBK">
    <w:altName w:val="微软雅黑"/>
    <w:panose1 w:val="00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6989296"/>
      <w:docPartObj>
        <w:docPartGallery w:val="AutoText"/>
      </w:docPartObj>
    </w:sdtPr>
    <w:sdtContent>
      <w:sdt>
        <w:sdtPr>
          <w:id w:val="1728636285"/>
          <w:docPartObj>
            <w:docPartGallery w:val="AutoText"/>
          </w:docPartObj>
        </w:sdtPr>
        <w:sdtContent>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21</w:t>
            </w:r>
            <w:r>
              <w:rPr>
                <w:b/>
                <w:bCs/>
                <w:sz w:val="24"/>
                <w:szCs w:val="24"/>
              </w:rPr>
              <w:fldChar w:fldCharType="end"/>
            </w:r>
          </w:p>
        </w:sdtContent>
      </w:sdt>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仿宋" w:hAnsi="仿宋" w:eastAsia="仿宋"/>
      </w:rPr>
    </w:pPr>
    <w:r>
      <w:rPr>
        <w:rFonts w:hint="eastAsia" w:ascii="仿宋" w:hAnsi="仿宋" w:eastAsia="仿宋"/>
      </w:rPr>
      <w:drawing>
        <wp:anchor distT="0" distB="0" distL="114300" distR="114300" simplePos="0" relativeHeight="251658240" behindDoc="0" locked="0" layoutInCell="1" allowOverlap="1">
          <wp:simplePos x="0" y="0"/>
          <wp:positionH relativeFrom="column">
            <wp:posOffset>5715</wp:posOffset>
          </wp:positionH>
          <wp:positionV relativeFrom="paragraph">
            <wp:posOffset>-231775</wp:posOffset>
          </wp:positionV>
          <wp:extent cx="1165860" cy="405765"/>
          <wp:effectExtent l="0" t="0" r="0" b="0"/>
          <wp:wrapNone/>
          <wp:docPr id="1" name="图片 1" descr="页眉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405765"/>
                  </a:xfrm>
                  <a:prstGeom prst="rect">
                    <a:avLst/>
                  </a:prstGeom>
                  <a:noFill/>
                </pic:spPr>
              </pic:pic>
            </a:graphicData>
          </a:graphic>
        </wp:anchor>
      </w:drawing>
    </w:r>
    <w:r>
      <w:rPr>
        <w:rFonts w:hint="eastAsia" w:ascii="仿宋" w:hAnsi="仿宋" w:eastAsia="仿宋"/>
      </w:rPr>
      <w:t>华润云庭购房登记细则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9C1BA4"/>
    <w:multiLevelType w:val="multilevel"/>
    <w:tmpl w:val="499C1BA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dit="readOnly" w:enforcement="1" w:cryptProviderType="rsaFull" w:cryptAlgorithmClass="hash" w:cryptAlgorithmType="typeAny" w:cryptAlgorithmSid="4" w:cryptSpinCount="0" w:hash="gZh475D2fEyOU36pgc+S/2edFwM=" w:salt="tsgdF1wjEhSIbBny8lo0XQ=="/>
  <w:defaultTabStop w:val="420"/>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DE22F2"/>
    <w:rsid w:val="00000E55"/>
    <w:rsid w:val="00005688"/>
    <w:rsid w:val="00025225"/>
    <w:rsid w:val="00025A99"/>
    <w:rsid w:val="00031D13"/>
    <w:rsid w:val="00034C92"/>
    <w:rsid w:val="00036CFC"/>
    <w:rsid w:val="00043BA6"/>
    <w:rsid w:val="000567B8"/>
    <w:rsid w:val="0006026D"/>
    <w:rsid w:val="0006607F"/>
    <w:rsid w:val="00077007"/>
    <w:rsid w:val="000853B0"/>
    <w:rsid w:val="000862D1"/>
    <w:rsid w:val="00087457"/>
    <w:rsid w:val="00097896"/>
    <w:rsid w:val="000C251F"/>
    <w:rsid w:val="000C2E71"/>
    <w:rsid w:val="000C2EEF"/>
    <w:rsid w:val="000C30B9"/>
    <w:rsid w:val="000C5FAE"/>
    <w:rsid w:val="000C6215"/>
    <w:rsid w:val="000C70DE"/>
    <w:rsid w:val="000C7A09"/>
    <w:rsid w:val="000D4492"/>
    <w:rsid w:val="000D4E2E"/>
    <w:rsid w:val="000E1355"/>
    <w:rsid w:val="000E48AA"/>
    <w:rsid w:val="000E6B94"/>
    <w:rsid w:val="000F775C"/>
    <w:rsid w:val="001032B4"/>
    <w:rsid w:val="00105E5E"/>
    <w:rsid w:val="001072B5"/>
    <w:rsid w:val="00112E14"/>
    <w:rsid w:val="00113C2E"/>
    <w:rsid w:val="001155A9"/>
    <w:rsid w:val="00115CE3"/>
    <w:rsid w:val="001208E5"/>
    <w:rsid w:val="00121A14"/>
    <w:rsid w:val="00126694"/>
    <w:rsid w:val="00131596"/>
    <w:rsid w:val="00135C36"/>
    <w:rsid w:val="00147C73"/>
    <w:rsid w:val="00147F2A"/>
    <w:rsid w:val="001506AE"/>
    <w:rsid w:val="001559BC"/>
    <w:rsid w:val="00157DBC"/>
    <w:rsid w:val="001625B6"/>
    <w:rsid w:val="00181B98"/>
    <w:rsid w:val="00192BD7"/>
    <w:rsid w:val="001948E2"/>
    <w:rsid w:val="00197A9A"/>
    <w:rsid w:val="001B3C6D"/>
    <w:rsid w:val="001C4DFC"/>
    <w:rsid w:val="001C5FD5"/>
    <w:rsid w:val="001D0306"/>
    <w:rsid w:val="001D0797"/>
    <w:rsid w:val="001D430D"/>
    <w:rsid w:val="001F4A59"/>
    <w:rsid w:val="001F679D"/>
    <w:rsid w:val="00221D07"/>
    <w:rsid w:val="00222D35"/>
    <w:rsid w:val="002245D1"/>
    <w:rsid w:val="00225AC1"/>
    <w:rsid w:val="0025513B"/>
    <w:rsid w:val="00255492"/>
    <w:rsid w:val="00262F23"/>
    <w:rsid w:val="00266EE1"/>
    <w:rsid w:val="00271218"/>
    <w:rsid w:val="00275F06"/>
    <w:rsid w:val="002774B0"/>
    <w:rsid w:val="00282A0B"/>
    <w:rsid w:val="00284979"/>
    <w:rsid w:val="00286476"/>
    <w:rsid w:val="00291378"/>
    <w:rsid w:val="00293534"/>
    <w:rsid w:val="002A3A05"/>
    <w:rsid w:val="002A48EB"/>
    <w:rsid w:val="002A6567"/>
    <w:rsid w:val="002B3AEF"/>
    <w:rsid w:val="002B58D5"/>
    <w:rsid w:val="002B6DCC"/>
    <w:rsid w:val="002E1AD1"/>
    <w:rsid w:val="002E5ACF"/>
    <w:rsid w:val="002F1501"/>
    <w:rsid w:val="002F3A05"/>
    <w:rsid w:val="002F6716"/>
    <w:rsid w:val="003214CE"/>
    <w:rsid w:val="00336A1A"/>
    <w:rsid w:val="0035284F"/>
    <w:rsid w:val="0035433F"/>
    <w:rsid w:val="00354846"/>
    <w:rsid w:val="00354A42"/>
    <w:rsid w:val="003550DE"/>
    <w:rsid w:val="00355EAC"/>
    <w:rsid w:val="00362735"/>
    <w:rsid w:val="00367147"/>
    <w:rsid w:val="00386FBC"/>
    <w:rsid w:val="00390F61"/>
    <w:rsid w:val="00396AEC"/>
    <w:rsid w:val="00397BFB"/>
    <w:rsid w:val="003A152D"/>
    <w:rsid w:val="003A5C79"/>
    <w:rsid w:val="003B2FCD"/>
    <w:rsid w:val="003C07F6"/>
    <w:rsid w:val="003C3ADC"/>
    <w:rsid w:val="003C5F23"/>
    <w:rsid w:val="003C6526"/>
    <w:rsid w:val="003E0AD3"/>
    <w:rsid w:val="003E6E89"/>
    <w:rsid w:val="003F15BE"/>
    <w:rsid w:val="003F1D14"/>
    <w:rsid w:val="00402A83"/>
    <w:rsid w:val="00405AF1"/>
    <w:rsid w:val="00410456"/>
    <w:rsid w:val="00417100"/>
    <w:rsid w:val="0042133C"/>
    <w:rsid w:val="00421A1B"/>
    <w:rsid w:val="00427C18"/>
    <w:rsid w:val="00434C46"/>
    <w:rsid w:val="00452991"/>
    <w:rsid w:val="004625AE"/>
    <w:rsid w:val="0046430C"/>
    <w:rsid w:val="00465A2B"/>
    <w:rsid w:val="00471054"/>
    <w:rsid w:val="0047281F"/>
    <w:rsid w:val="00473828"/>
    <w:rsid w:val="0047440C"/>
    <w:rsid w:val="00483B40"/>
    <w:rsid w:val="00485E42"/>
    <w:rsid w:val="00486876"/>
    <w:rsid w:val="00486C1E"/>
    <w:rsid w:val="004900C6"/>
    <w:rsid w:val="004910FD"/>
    <w:rsid w:val="00492476"/>
    <w:rsid w:val="00495334"/>
    <w:rsid w:val="00495689"/>
    <w:rsid w:val="0049572A"/>
    <w:rsid w:val="004A0852"/>
    <w:rsid w:val="004A34C4"/>
    <w:rsid w:val="004A4737"/>
    <w:rsid w:val="004B07A6"/>
    <w:rsid w:val="004C1ACB"/>
    <w:rsid w:val="004C3DDC"/>
    <w:rsid w:val="004C4C99"/>
    <w:rsid w:val="004C5B01"/>
    <w:rsid w:val="004D7192"/>
    <w:rsid w:val="004F0B26"/>
    <w:rsid w:val="004F3647"/>
    <w:rsid w:val="0050575A"/>
    <w:rsid w:val="00507354"/>
    <w:rsid w:val="00511698"/>
    <w:rsid w:val="00513074"/>
    <w:rsid w:val="00517601"/>
    <w:rsid w:val="005317C9"/>
    <w:rsid w:val="00531885"/>
    <w:rsid w:val="00535E5B"/>
    <w:rsid w:val="00543563"/>
    <w:rsid w:val="00545F07"/>
    <w:rsid w:val="0055059D"/>
    <w:rsid w:val="005527DA"/>
    <w:rsid w:val="00556D0B"/>
    <w:rsid w:val="00557B27"/>
    <w:rsid w:val="00566A80"/>
    <w:rsid w:val="0056741D"/>
    <w:rsid w:val="00571F73"/>
    <w:rsid w:val="0057332A"/>
    <w:rsid w:val="005773FC"/>
    <w:rsid w:val="0059000B"/>
    <w:rsid w:val="00593B7C"/>
    <w:rsid w:val="00593C6E"/>
    <w:rsid w:val="00597B10"/>
    <w:rsid w:val="005B5596"/>
    <w:rsid w:val="005C0C0E"/>
    <w:rsid w:val="005C42C8"/>
    <w:rsid w:val="005C6E53"/>
    <w:rsid w:val="005C7009"/>
    <w:rsid w:val="005D199B"/>
    <w:rsid w:val="005D2D0C"/>
    <w:rsid w:val="005E72EE"/>
    <w:rsid w:val="005F3EF5"/>
    <w:rsid w:val="0060028F"/>
    <w:rsid w:val="006051B0"/>
    <w:rsid w:val="00615DB3"/>
    <w:rsid w:val="006215CC"/>
    <w:rsid w:val="00626836"/>
    <w:rsid w:val="00627D56"/>
    <w:rsid w:val="00633CD4"/>
    <w:rsid w:val="00635D6D"/>
    <w:rsid w:val="006553FF"/>
    <w:rsid w:val="00663704"/>
    <w:rsid w:val="006907C9"/>
    <w:rsid w:val="0069432E"/>
    <w:rsid w:val="006B1098"/>
    <w:rsid w:val="006C43E2"/>
    <w:rsid w:val="006C4814"/>
    <w:rsid w:val="006D2D5F"/>
    <w:rsid w:val="006D443D"/>
    <w:rsid w:val="006E05BB"/>
    <w:rsid w:val="006E5C07"/>
    <w:rsid w:val="006E5C4A"/>
    <w:rsid w:val="007010EA"/>
    <w:rsid w:val="00701761"/>
    <w:rsid w:val="00712539"/>
    <w:rsid w:val="00721A7E"/>
    <w:rsid w:val="00721DF9"/>
    <w:rsid w:val="0072535B"/>
    <w:rsid w:val="00732D12"/>
    <w:rsid w:val="00736096"/>
    <w:rsid w:val="007368D8"/>
    <w:rsid w:val="00742AA3"/>
    <w:rsid w:val="0075322E"/>
    <w:rsid w:val="00762CCF"/>
    <w:rsid w:val="007654DC"/>
    <w:rsid w:val="00767044"/>
    <w:rsid w:val="0077649E"/>
    <w:rsid w:val="00780311"/>
    <w:rsid w:val="00785AFB"/>
    <w:rsid w:val="007866FA"/>
    <w:rsid w:val="0079239A"/>
    <w:rsid w:val="00797EB2"/>
    <w:rsid w:val="007A0D3C"/>
    <w:rsid w:val="007A1656"/>
    <w:rsid w:val="007A1DA6"/>
    <w:rsid w:val="007A39D3"/>
    <w:rsid w:val="007A7366"/>
    <w:rsid w:val="007B2E98"/>
    <w:rsid w:val="007B3270"/>
    <w:rsid w:val="007B6968"/>
    <w:rsid w:val="007B6E16"/>
    <w:rsid w:val="007C3F5F"/>
    <w:rsid w:val="007D333B"/>
    <w:rsid w:val="007D5071"/>
    <w:rsid w:val="007E1508"/>
    <w:rsid w:val="007E78DB"/>
    <w:rsid w:val="007F0926"/>
    <w:rsid w:val="007F0DA6"/>
    <w:rsid w:val="007F6829"/>
    <w:rsid w:val="00836292"/>
    <w:rsid w:val="00840DAD"/>
    <w:rsid w:val="00840DEF"/>
    <w:rsid w:val="0084353B"/>
    <w:rsid w:val="00845B15"/>
    <w:rsid w:val="00847C76"/>
    <w:rsid w:val="008530A2"/>
    <w:rsid w:val="0085721D"/>
    <w:rsid w:val="00865A19"/>
    <w:rsid w:val="00865D09"/>
    <w:rsid w:val="00866025"/>
    <w:rsid w:val="00883E87"/>
    <w:rsid w:val="00886550"/>
    <w:rsid w:val="008A3891"/>
    <w:rsid w:val="008A38E2"/>
    <w:rsid w:val="008B400A"/>
    <w:rsid w:val="008C6142"/>
    <w:rsid w:val="008D08CE"/>
    <w:rsid w:val="008D338A"/>
    <w:rsid w:val="008E013A"/>
    <w:rsid w:val="008E4758"/>
    <w:rsid w:val="008E4B7F"/>
    <w:rsid w:val="008F1A1A"/>
    <w:rsid w:val="008F4088"/>
    <w:rsid w:val="008F4F80"/>
    <w:rsid w:val="0090498D"/>
    <w:rsid w:val="00915FE7"/>
    <w:rsid w:val="00920D56"/>
    <w:rsid w:val="00921F7F"/>
    <w:rsid w:val="00923DF5"/>
    <w:rsid w:val="00926339"/>
    <w:rsid w:val="00931CE5"/>
    <w:rsid w:val="00940459"/>
    <w:rsid w:val="00940790"/>
    <w:rsid w:val="00945956"/>
    <w:rsid w:val="00947FF4"/>
    <w:rsid w:val="00950613"/>
    <w:rsid w:val="009552F5"/>
    <w:rsid w:val="009575AE"/>
    <w:rsid w:val="00975049"/>
    <w:rsid w:val="009839C0"/>
    <w:rsid w:val="00996F20"/>
    <w:rsid w:val="00997167"/>
    <w:rsid w:val="00997A28"/>
    <w:rsid w:val="00997E14"/>
    <w:rsid w:val="009A6B33"/>
    <w:rsid w:val="009A74FF"/>
    <w:rsid w:val="009C030F"/>
    <w:rsid w:val="009C5A6A"/>
    <w:rsid w:val="009C6B35"/>
    <w:rsid w:val="009D1115"/>
    <w:rsid w:val="009D27A7"/>
    <w:rsid w:val="009F6FC1"/>
    <w:rsid w:val="00A04B04"/>
    <w:rsid w:val="00A051F0"/>
    <w:rsid w:val="00A06611"/>
    <w:rsid w:val="00A14719"/>
    <w:rsid w:val="00A15EE7"/>
    <w:rsid w:val="00A2388C"/>
    <w:rsid w:val="00A31153"/>
    <w:rsid w:val="00A35DAA"/>
    <w:rsid w:val="00A40B48"/>
    <w:rsid w:val="00A45208"/>
    <w:rsid w:val="00A547E5"/>
    <w:rsid w:val="00A71FED"/>
    <w:rsid w:val="00A72FDA"/>
    <w:rsid w:val="00A743E6"/>
    <w:rsid w:val="00A7678F"/>
    <w:rsid w:val="00A77310"/>
    <w:rsid w:val="00A81E38"/>
    <w:rsid w:val="00A82502"/>
    <w:rsid w:val="00A95745"/>
    <w:rsid w:val="00A96A8F"/>
    <w:rsid w:val="00A9786A"/>
    <w:rsid w:val="00AA6415"/>
    <w:rsid w:val="00AA7184"/>
    <w:rsid w:val="00AC570A"/>
    <w:rsid w:val="00AD7680"/>
    <w:rsid w:val="00AE3244"/>
    <w:rsid w:val="00AE4F53"/>
    <w:rsid w:val="00AE6999"/>
    <w:rsid w:val="00B048A5"/>
    <w:rsid w:val="00B1499D"/>
    <w:rsid w:val="00B253AF"/>
    <w:rsid w:val="00B26C3C"/>
    <w:rsid w:val="00B33929"/>
    <w:rsid w:val="00B34EE8"/>
    <w:rsid w:val="00B40BF7"/>
    <w:rsid w:val="00B6216B"/>
    <w:rsid w:val="00B72774"/>
    <w:rsid w:val="00B83324"/>
    <w:rsid w:val="00BA0A50"/>
    <w:rsid w:val="00BB4F81"/>
    <w:rsid w:val="00BC7380"/>
    <w:rsid w:val="00BD0902"/>
    <w:rsid w:val="00BD256B"/>
    <w:rsid w:val="00BD76CE"/>
    <w:rsid w:val="00BE14AA"/>
    <w:rsid w:val="00BE1F77"/>
    <w:rsid w:val="00BE2D1D"/>
    <w:rsid w:val="00BF0B21"/>
    <w:rsid w:val="00BF11E7"/>
    <w:rsid w:val="00BF11EF"/>
    <w:rsid w:val="00BF39BB"/>
    <w:rsid w:val="00BF4F1F"/>
    <w:rsid w:val="00BF5E34"/>
    <w:rsid w:val="00C06BE9"/>
    <w:rsid w:val="00C1151B"/>
    <w:rsid w:val="00C123CE"/>
    <w:rsid w:val="00C20E67"/>
    <w:rsid w:val="00C42531"/>
    <w:rsid w:val="00C47E26"/>
    <w:rsid w:val="00C600FE"/>
    <w:rsid w:val="00C6062D"/>
    <w:rsid w:val="00C6234A"/>
    <w:rsid w:val="00C67AD7"/>
    <w:rsid w:val="00C75F10"/>
    <w:rsid w:val="00C801C6"/>
    <w:rsid w:val="00C81C9D"/>
    <w:rsid w:val="00C963A9"/>
    <w:rsid w:val="00CA57D2"/>
    <w:rsid w:val="00CA6C1C"/>
    <w:rsid w:val="00CA6D1F"/>
    <w:rsid w:val="00CB2CC6"/>
    <w:rsid w:val="00CB4251"/>
    <w:rsid w:val="00CB4D25"/>
    <w:rsid w:val="00CE046E"/>
    <w:rsid w:val="00CE6684"/>
    <w:rsid w:val="00CF728C"/>
    <w:rsid w:val="00D025E5"/>
    <w:rsid w:val="00D0405C"/>
    <w:rsid w:val="00D30C2A"/>
    <w:rsid w:val="00D35848"/>
    <w:rsid w:val="00D37767"/>
    <w:rsid w:val="00D46DE8"/>
    <w:rsid w:val="00D47769"/>
    <w:rsid w:val="00D659D3"/>
    <w:rsid w:val="00D81C0E"/>
    <w:rsid w:val="00D82ECB"/>
    <w:rsid w:val="00D8486E"/>
    <w:rsid w:val="00D84890"/>
    <w:rsid w:val="00D945C4"/>
    <w:rsid w:val="00D960A9"/>
    <w:rsid w:val="00D964DB"/>
    <w:rsid w:val="00DA0F1C"/>
    <w:rsid w:val="00DA6C2E"/>
    <w:rsid w:val="00DB06F4"/>
    <w:rsid w:val="00DB1866"/>
    <w:rsid w:val="00DB1F8A"/>
    <w:rsid w:val="00DC1080"/>
    <w:rsid w:val="00DC2E90"/>
    <w:rsid w:val="00DC3791"/>
    <w:rsid w:val="00DC797B"/>
    <w:rsid w:val="00DC7DA0"/>
    <w:rsid w:val="00DD2900"/>
    <w:rsid w:val="00DD4722"/>
    <w:rsid w:val="00DD553F"/>
    <w:rsid w:val="00DE20E6"/>
    <w:rsid w:val="00DE22F2"/>
    <w:rsid w:val="00DE5B67"/>
    <w:rsid w:val="00E026DC"/>
    <w:rsid w:val="00E06F0C"/>
    <w:rsid w:val="00E11305"/>
    <w:rsid w:val="00E12FFE"/>
    <w:rsid w:val="00E15C9A"/>
    <w:rsid w:val="00E1659B"/>
    <w:rsid w:val="00E16921"/>
    <w:rsid w:val="00E24B0E"/>
    <w:rsid w:val="00E25908"/>
    <w:rsid w:val="00E3218A"/>
    <w:rsid w:val="00E322C9"/>
    <w:rsid w:val="00E52643"/>
    <w:rsid w:val="00E56728"/>
    <w:rsid w:val="00E72A02"/>
    <w:rsid w:val="00E90DF6"/>
    <w:rsid w:val="00E9286C"/>
    <w:rsid w:val="00E946C0"/>
    <w:rsid w:val="00EA30CF"/>
    <w:rsid w:val="00EA78F5"/>
    <w:rsid w:val="00EB3F0B"/>
    <w:rsid w:val="00EC30F0"/>
    <w:rsid w:val="00EC5FE4"/>
    <w:rsid w:val="00ED3121"/>
    <w:rsid w:val="00ED7F79"/>
    <w:rsid w:val="00EE21DA"/>
    <w:rsid w:val="00EF4101"/>
    <w:rsid w:val="00EF4AA3"/>
    <w:rsid w:val="00EF64C1"/>
    <w:rsid w:val="00EF76A6"/>
    <w:rsid w:val="00F04A6F"/>
    <w:rsid w:val="00F04C5B"/>
    <w:rsid w:val="00F105C8"/>
    <w:rsid w:val="00F11309"/>
    <w:rsid w:val="00F124DC"/>
    <w:rsid w:val="00F162DF"/>
    <w:rsid w:val="00F20616"/>
    <w:rsid w:val="00F31560"/>
    <w:rsid w:val="00F3533F"/>
    <w:rsid w:val="00F36BF4"/>
    <w:rsid w:val="00F36F87"/>
    <w:rsid w:val="00F37C1D"/>
    <w:rsid w:val="00F436B9"/>
    <w:rsid w:val="00F46682"/>
    <w:rsid w:val="00F4795B"/>
    <w:rsid w:val="00F66A55"/>
    <w:rsid w:val="00F8663E"/>
    <w:rsid w:val="00F930C8"/>
    <w:rsid w:val="00F94068"/>
    <w:rsid w:val="00F94703"/>
    <w:rsid w:val="00F951A8"/>
    <w:rsid w:val="00FB23CC"/>
    <w:rsid w:val="00FB7487"/>
    <w:rsid w:val="00FC0764"/>
    <w:rsid w:val="00FC2847"/>
    <w:rsid w:val="00FC512A"/>
    <w:rsid w:val="00FD29DB"/>
    <w:rsid w:val="00FD3148"/>
    <w:rsid w:val="00FF1705"/>
    <w:rsid w:val="00FF2881"/>
    <w:rsid w:val="00FF46F6"/>
    <w:rsid w:val="00FF6526"/>
    <w:rsid w:val="00FF6950"/>
    <w:rsid w:val="243776F2"/>
    <w:rsid w:val="3004726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39" w:semiHidden="0" w:name="toc 2" w:locked="1"/>
    <w:lsdException w:unhideWhenUsed="0" w:uiPriority="0" w:semiHidden="0" w:name="toc 3" w:locked="1"/>
    <w:lsdException w:uiPriority="3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0" w:semiHidden="0" w:name="Table Grid" w:locked="1"/>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18"/>
    <w:qFormat/>
    <w:uiPriority w:val="99"/>
    <w:pPr>
      <w:keepNext/>
      <w:keepLines/>
      <w:widowControl w:val="0"/>
      <w:adjustRightInd/>
      <w:snapToGrid/>
      <w:spacing w:before="340" w:after="330" w:line="578" w:lineRule="auto"/>
      <w:jc w:val="both"/>
      <w:outlineLvl w:val="0"/>
    </w:pPr>
    <w:rPr>
      <w:rFonts w:ascii="Times New Roman" w:hAnsi="Times New Roman" w:eastAsia="宋体"/>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mbria" w:hAnsi="Cambria" w:eastAsia="宋体"/>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paragraph" w:styleId="5">
    <w:name w:val="heading 4"/>
    <w:basedOn w:val="1"/>
    <w:next w:val="1"/>
    <w:link w:val="28"/>
    <w:unhideWhenUsed/>
    <w:qFormat/>
    <w:locked/>
    <w:uiPriority w:val="0"/>
    <w:pPr>
      <w:keepNext/>
      <w:keepLines/>
      <w:spacing w:before="280" w:after="290" w:line="376" w:lineRule="auto"/>
      <w:outlineLvl w:val="3"/>
    </w:pPr>
    <w:rPr>
      <w:rFonts w:ascii="Cambria" w:hAnsi="Cambria" w:eastAsia="宋体"/>
      <w:b/>
      <w:bCs/>
      <w:sz w:val="28"/>
      <w:szCs w:val="28"/>
    </w:rPr>
  </w:style>
  <w:style w:type="character" w:default="1" w:styleId="13">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styleId="6">
    <w:name w:val="annotation text"/>
    <w:basedOn w:val="1"/>
    <w:link w:val="33"/>
    <w:unhideWhenUsed/>
    <w:uiPriority w:val="99"/>
    <w:pPr>
      <w:widowControl w:val="0"/>
      <w:adjustRightInd/>
      <w:snapToGrid/>
      <w:spacing w:after="0"/>
    </w:pPr>
    <w:rPr>
      <w:rFonts w:asciiTheme="minorHAnsi" w:hAnsiTheme="minorHAnsi" w:eastAsiaTheme="minorEastAsia" w:cstheme="minorBidi"/>
      <w:kern w:val="2"/>
      <w:sz w:val="21"/>
    </w:rPr>
  </w:style>
  <w:style w:type="paragraph" w:styleId="7">
    <w:name w:val="Date"/>
    <w:basedOn w:val="1"/>
    <w:next w:val="1"/>
    <w:link w:val="31"/>
    <w:unhideWhenUsed/>
    <w:uiPriority w:val="99"/>
    <w:pPr>
      <w:ind w:left="100" w:leftChars="2500"/>
    </w:pPr>
  </w:style>
  <w:style w:type="paragraph" w:styleId="8">
    <w:name w:val="Balloon Text"/>
    <w:basedOn w:val="1"/>
    <w:link w:val="22"/>
    <w:semiHidden/>
    <w:uiPriority w:val="99"/>
    <w:pPr>
      <w:spacing w:after="0"/>
    </w:pPr>
    <w:rPr>
      <w:sz w:val="18"/>
      <w:szCs w:val="18"/>
    </w:rPr>
  </w:style>
  <w:style w:type="paragraph" w:styleId="9">
    <w:name w:val="footer"/>
    <w:basedOn w:val="1"/>
    <w:link w:val="24"/>
    <w:uiPriority w:val="99"/>
    <w:pPr>
      <w:tabs>
        <w:tab w:val="center" w:pos="4153"/>
        <w:tab w:val="right" w:pos="8306"/>
      </w:tabs>
    </w:pPr>
    <w:rPr>
      <w:sz w:val="18"/>
      <w:szCs w:val="18"/>
    </w:rPr>
  </w:style>
  <w:style w:type="paragraph" w:styleId="10">
    <w:name w:val="header"/>
    <w:basedOn w:val="1"/>
    <w:link w:val="23"/>
    <w:uiPriority w:val="99"/>
    <w:pPr>
      <w:pBdr>
        <w:bottom w:val="single" w:color="auto" w:sz="6" w:space="1"/>
      </w:pBdr>
      <w:tabs>
        <w:tab w:val="center" w:pos="4153"/>
        <w:tab w:val="right" w:pos="8306"/>
      </w:tabs>
      <w:jc w:val="center"/>
    </w:pPr>
    <w:rPr>
      <w:sz w:val="18"/>
      <w:szCs w:val="18"/>
    </w:rPr>
  </w:style>
  <w:style w:type="paragraph" w:styleId="11">
    <w:name w:val="toc 4"/>
    <w:basedOn w:val="1"/>
    <w:next w:val="1"/>
    <w:unhideWhenUsed/>
    <w:locked/>
    <w:uiPriority w:val="39"/>
    <w:pPr>
      <w:widowControl w:val="0"/>
      <w:adjustRightInd/>
      <w:snapToGrid/>
      <w:spacing w:after="0"/>
      <w:ind w:left="1260" w:leftChars="600"/>
      <w:jc w:val="both"/>
    </w:pPr>
    <w:rPr>
      <w:rFonts w:ascii="Calibri" w:hAnsi="Calibri" w:eastAsia="宋体"/>
      <w:kern w:val="2"/>
      <w:sz w:val="21"/>
    </w:rPr>
  </w:style>
  <w:style w:type="paragraph" w:styleId="12">
    <w:name w:val="toc 2"/>
    <w:basedOn w:val="1"/>
    <w:next w:val="1"/>
    <w:locked/>
    <w:uiPriority w:val="39"/>
    <w:pPr>
      <w:ind w:left="420" w:leftChars="200"/>
    </w:pPr>
  </w:style>
  <w:style w:type="character" w:styleId="14">
    <w:name w:val="Hyperlink"/>
    <w:unhideWhenUsed/>
    <w:uiPriority w:val="99"/>
    <w:rPr>
      <w:color w:val="0000FF"/>
      <w:u w:val="single"/>
    </w:rPr>
  </w:style>
  <w:style w:type="character" w:styleId="15">
    <w:name w:val="annotation reference"/>
    <w:basedOn w:val="13"/>
    <w:unhideWhenUsed/>
    <w:uiPriority w:val="99"/>
    <w:rPr>
      <w:sz w:val="21"/>
      <w:szCs w:val="21"/>
    </w:rPr>
  </w:style>
  <w:style w:type="table" w:styleId="17">
    <w:name w:val="Table Grid"/>
    <w:basedOn w:val="16"/>
    <w:qFormat/>
    <w:locked/>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标题 1 Char"/>
    <w:link w:val="2"/>
    <w:locked/>
    <w:uiPriority w:val="99"/>
    <w:rPr>
      <w:rFonts w:ascii="Times New Roman" w:hAnsi="Times New Roman" w:eastAsia="宋体" w:cs="Times New Roman"/>
      <w:b/>
      <w:bCs/>
      <w:kern w:val="44"/>
      <w:sz w:val="44"/>
      <w:szCs w:val="44"/>
    </w:rPr>
  </w:style>
  <w:style w:type="character" w:customStyle="1" w:styleId="19">
    <w:name w:val="标题 2 Char"/>
    <w:link w:val="3"/>
    <w:locked/>
    <w:uiPriority w:val="99"/>
    <w:rPr>
      <w:rFonts w:ascii="Cambria" w:hAnsi="Cambria" w:eastAsia="宋体" w:cs="Times New Roman"/>
      <w:b/>
      <w:bCs/>
      <w:kern w:val="0"/>
      <w:sz w:val="32"/>
      <w:szCs w:val="32"/>
    </w:rPr>
  </w:style>
  <w:style w:type="character" w:customStyle="1" w:styleId="20">
    <w:name w:val="标题 3 Char"/>
    <w:link w:val="4"/>
    <w:locked/>
    <w:uiPriority w:val="99"/>
    <w:rPr>
      <w:rFonts w:ascii="Tahoma" w:hAnsi="Tahoma" w:eastAsia="微软雅黑" w:cs="Times New Roman"/>
      <w:b/>
      <w:bCs/>
      <w:kern w:val="0"/>
      <w:sz w:val="32"/>
      <w:szCs w:val="32"/>
    </w:rPr>
  </w:style>
  <w:style w:type="paragraph" w:styleId="21">
    <w:name w:val="List Paragraph"/>
    <w:basedOn w:val="1"/>
    <w:qFormat/>
    <w:uiPriority w:val="34"/>
    <w:pPr>
      <w:ind w:firstLine="420" w:firstLineChars="200"/>
    </w:pPr>
  </w:style>
  <w:style w:type="character" w:customStyle="1" w:styleId="22">
    <w:name w:val="批注框文本 Char"/>
    <w:link w:val="8"/>
    <w:semiHidden/>
    <w:locked/>
    <w:uiPriority w:val="99"/>
    <w:rPr>
      <w:rFonts w:ascii="Tahoma" w:hAnsi="Tahoma" w:eastAsia="微软雅黑" w:cs="Times New Roman"/>
      <w:kern w:val="0"/>
      <w:sz w:val="18"/>
      <w:szCs w:val="18"/>
    </w:rPr>
  </w:style>
  <w:style w:type="character" w:customStyle="1" w:styleId="23">
    <w:name w:val="页眉 Char"/>
    <w:link w:val="10"/>
    <w:locked/>
    <w:uiPriority w:val="99"/>
    <w:rPr>
      <w:rFonts w:ascii="Tahoma" w:hAnsi="Tahoma" w:eastAsia="微软雅黑" w:cs="Times New Roman"/>
      <w:kern w:val="0"/>
      <w:sz w:val="18"/>
      <w:szCs w:val="18"/>
    </w:rPr>
  </w:style>
  <w:style w:type="character" w:customStyle="1" w:styleId="24">
    <w:name w:val="页脚 Char"/>
    <w:link w:val="9"/>
    <w:locked/>
    <w:uiPriority w:val="99"/>
    <w:rPr>
      <w:rFonts w:ascii="Tahoma" w:hAnsi="Tahoma" w:eastAsia="微软雅黑" w:cs="Times New Roman"/>
      <w:kern w:val="0"/>
      <w:sz w:val="18"/>
      <w:szCs w:val="18"/>
    </w:rPr>
  </w:style>
  <w:style w:type="paragraph" w:customStyle="1" w:styleId="25">
    <w:name w:val="列出段落1"/>
    <w:basedOn w:val="1"/>
    <w:uiPriority w:val="99"/>
    <w:pPr>
      <w:widowControl w:val="0"/>
      <w:adjustRightInd/>
      <w:snapToGrid/>
      <w:spacing w:after="0"/>
      <w:ind w:firstLine="420" w:firstLineChars="200"/>
      <w:jc w:val="both"/>
    </w:pPr>
    <w:rPr>
      <w:rFonts w:ascii="Calibri" w:hAnsi="Calibri" w:eastAsia="宋体"/>
      <w:kern w:val="2"/>
      <w:sz w:val="21"/>
    </w:rPr>
  </w:style>
  <w:style w:type="paragraph" w:customStyle="1" w:styleId="26">
    <w:name w:val="TOC Heading"/>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7">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8">
    <w:name w:val="标题 4 Char"/>
    <w:link w:val="5"/>
    <w:uiPriority w:val="0"/>
    <w:rPr>
      <w:rFonts w:ascii="Cambria" w:hAnsi="Cambria" w:eastAsia="宋体" w:cs="Times New Roman"/>
      <w:b/>
      <w:bCs/>
      <w:sz w:val="28"/>
      <w:szCs w:val="28"/>
    </w:rPr>
  </w:style>
  <w:style w:type="paragraph" w:styleId="29">
    <w:name w:val="No Spacing"/>
    <w:link w:val="30"/>
    <w:qFormat/>
    <w:uiPriority w:val="1"/>
    <w:rPr>
      <w:rFonts w:asciiTheme="minorHAnsi" w:hAnsiTheme="minorHAnsi" w:eastAsiaTheme="minorEastAsia" w:cstheme="minorBidi"/>
      <w:sz w:val="22"/>
      <w:szCs w:val="22"/>
      <w:lang w:val="en-US" w:eastAsia="zh-CN" w:bidi="ar-SA"/>
    </w:rPr>
  </w:style>
  <w:style w:type="character" w:customStyle="1" w:styleId="30">
    <w:name w:val="无间隔 Char"/>
    <w:basedOn w:val="13"/>
    <w:link w:val="29"/>
    <w:uiPriority w:val="1"/>
    <w:rPr>
      <w:rFonts w:asciiTheme="minorHAnsi" w:hAnsiTheme="minorHAnsi" w:eastAsiaTheme="minorEastAsia" w:cstheme="minorBidi"/>
      <w:sz w:val="22"/>
      <w:szCs w:val="22"/>
    </w:rPr>
  </w:style>
  <w:style w:type="character" w:customStyle="1" w:styleId="31">
    <w:name w:val="日期 Char"/>
    <w:basedOn w:val="13"/>
    <w:link w:val="7"/>
    <w:semiHidden/>
    <w:uiPriority w:val="99"/>
    <w:rPr>
      <w:rFonts w:ascii="Tahoma" w:hAnsi="Tahoma" w:eastAsia="微软雅黑"/>
      <w:sz w:val="22"/>
      <w:szCs w:val="22"/>
    </w:rPr>
  </w:style>
  <w:style w:type="paragraph" w:customStyle="1" w:styleId="32">
    <w:name w:val="Default"/>
    <w:unhideWhenUsed/>
    <w:qFormat/>
    <w:uiPriority w:val="0"/>
    <w:pPr>
      <w:widowControl w:val="0"/>
      <w:autoSpaceDE w:val="0"/>
      <w:autoSpaceDN w:val="0"/>
      <w:adjustRightInd w:val="0"/>
    </w:pPr>
    <w:rPr>
      <w:rFonts w:hint="eastAsia" w:ascii="宋体" w:hAnsi="Calibri" w:eastAsia="宋体" w:cs="Times New Roman"/>
      <w:color w:val="000000"/>
      <w:sz w:val="24"/>
      <w:szCs w:val="22"/>
      <w:lang w:val="en-US" w:eastAsia="zh-CN" w:bidi="ar-SA"/>
    </w:rPr>
  </w:style>
  <w:style w:type="character" w:customStyle="1" w:styleId="33">
    <w:name w:val="批注文字 Char"/>
    <w:basedOn w:val="13"/>
    <w:link w:val="6"/>
    <w:semiHidden/>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成都华润置地驿都房地产有限公司</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7E2F27-9B72-472C-B2CF-A7FBFE7C9199}">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Micorosoft</Company>
  <Pages>21</Pages>
  <Words>1003</Words>
  <Characters>5720</Characters>
  <Lines>47</Lines>
  <Paragraphs>13</Paragraphs>
  <TotalTime>0</TotalTime>
  <ScaleCrop>false</ScaleCrop>
  <LinksUpToDate>false</LinksUpToDate>
  <CharactersWithSpaces>6710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2017-12-19T13:28:00Z</dcterms:created>
  <dc:creator>曾铃雁</dc:creator>
  <cp:lastModifiedBy>Administrator</cp:lastModifiedBy>
  <cp:lastPrinted>2017-12-19T19:57:00Z</cp:lastPrinted>
  <dcterms:modified xsi:type="dcterms:W3CDTF">2018-01-31T14:42:12Z</dcterms:modified>
  <dc:title>华润</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