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val="0"/>
          <w:sz w:val="36"/>
          <w:szCs w:val="36"/>
          <w:lang w:val="en-US" w:eastAsia="zh-CN"/>
        </w:rPr>
      </w:pPr>
      <w:r>
        <w:rPr>
          <w:rFonts w:hint="eastAsia" w:ascii="仿宋" w:hAnsi="仿宋" w:eastAsia="仿宋" w:cs="仿宋"/>
          <w:b/>
          <w:bCs w:val="0"/>
          <w:sz w:val="36"/>
          <w:szCs w:val="36"/>
          <w:lang w:eastAsia="zh-CN"/>
        </w:rPr>
        <w:t>嘉源红郡</w:t>
      </w:r>
      <w:r>
        <w:rPr>
          <w:rFonts w:hint="eastAsia" w:ascii="仿宋" w:hAnsi="仿宋" w:eastAsia="仿宋" w:cs="仿宋"/>
          <w:b/>
          <w:bCs w:val="0"/>
          <w:sz w:val="36"/>
          <w:szCs w:val="36"/>
          <w:lang w:val="en-US" w:eastAsia="zh-CN"/>
        </w:rPr>
        <w:t>8、9、10、11、12、13、14、15号楼</w:t>
      </w:r>
    </w:p>
    <w:p>
      <w:pPr>
        <w:spacing w:line="600" w:lineRule="exact"/>
        <w:jc w:val="center"/>
        <w:rPr>
          <w:rFonts w:hint="eastAsia" w:ascii="仿宋" w:hAnsi="仿宋" w:eastAsia="仿宋" w:cs="仿宋"/>
          <w:b/>
          <w:bCs w:val="0"/>
          <w:sz w:val="44"/>
          <w:szCs w:val="44"/>
        </w:rPr>
      </w:pPr>
      <w:r>
        <w:rPr>
          <w:rFonts w:hint="eastAsia" w:ascii="仿宋" w:hAnsi="仿宋" w:eastAsia="仿宋" w:cs="仿宋"/>
          <w:b/>
          <w:bCs w:val="0"/>
          <w:sz w:val="44"/>
          <w:szCs w:val="44"/>
        </w:rPr>
        <w:t>购房登记规则</w:t>
      </w:r>
    </w:p>
    <w:p>
      <w:pPr>
        <w:jc w:val="both"/>
        <w:rPr>
          <w:rFonts w:hint="eastAsia" w:ascii="仿宋" w:hAnsi="仿宋" w:eastAsia="仿宋" w:cs="仿宋"/>
          <w:sz w:val="32"/>
          <w:szCs w:val="32"/>
        </w:rPr>
      </w:pPr>
    </w:p>
    <w:p>
      <w:pPr>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根据成都市房管局、司法局</w:t>
      </w:r>
      <w:r>
        <w:rPr>
          <w:rFonts w:hint="eastAsia" w:ascii="仿宋" w:hAnsi="仿宋" w:eastAsia="仿宋" w:cs="仿宋"/>
          <w:color w:val="000000"/>
          <w:sz w:val="32"/>
          <w:szCs w:val="32"/>
        </w:rPr>
        <w:t>印发</w:t>
      </w:r>
      <w:r>
        <w:rPr>
          <w:rFonts w:hint="eastAsia" w:ascii="仿宋" w:hAnsi="仿宋" w:eastAsia="仿宋" w:cs="仿宋"/>
          <w:sz w:val="32"/>
          <w:szCs w:val="32"/>
        </w:rPr>
        <w:t>的《关于商品住房开盘销售采用公证摇号排序选房有关事宜的通知》(成房发〔2017〕137号)和成都市公证协会</w:t>
      </w:r>
      <w:r>
        <w:rPr>
          <w:rFonts w:hint="eastAsia" w:ascii="仿宋" w:hAnsi="仿宋" w:eastAsia="仿宋" w:cs="仿宋"/>
          <w:color w:val="000000"/>
          <w:sz w:val="32"/>
          <w:szCs w:val="32"/>
        </w:rPr>
        <w:t>印发</w:t>
      </w:r>
      <w:r>
        <w:rPr>
          <w:rFonts w:hint="eastAsia" w:ascii="仿宋" w:hAnsi="仿宋" w:eastAsia="仿宋" w:cs="仿宋"/>
          <w:sz w:val="32"/>
          <w:szCs w:val="32"/>
        </w:rPr>
        <w:t>的《成都市公证协会关于办理商品住房开盘销售摇号排序选房现场监督公证及相关保全证据公证的指导意见》</w:t>
      </w:r>
      <w:r>
        <w:rPr>
          <w:rFonts w:hint="eastAsia" w:ascii="仿宋" w:hAnsi="仿宋" w:eastAsia="仿宋" w:cs="仿宋"/>
          <w:color w:val="000000"/>
          <w:sz w:val="32"/>
          <w:szCs w:val="32"/>
        </w:rPr>
        <w:t>以及《成都住宅与房地产业协会关于印发〈成都市商品住房购房登记规则指引（试行）〉和〈成都市商品住房公证摇号选房规则指引（试行）〉的通知》相关要求，</w:t>
      </w:r>
      <w:r>
        <w:rPr>
          <w:rFonts w:hint="eastAsia" w:ascii="仿宋" w:hAnsi="仿宋" w:eastAsia="仿宋" w:cs="仿宋"/>
          <w:sz w:val="32"/>
          <w:szCs w:val="32"/>
        </w:rPr>
        <w:t>制定我公司</w:t>
      </w:r>
      <w:r>
        <w:rPr>
          <w:rFonts w:hint="eastAsia" w:ascii="仿宋" w:hAnsi="仿宋" w:eastAsia="仿宋" w:cs="仿宋"/>
          <w:sz w:val="32"/>
          <w:szCs w:val="32"/>
          <w:u w:val="single"/>
          <w:lang w:eastAsia="zh-CN"/>
        </w:rPr>
        <w:t>嘉源红郡</w:t>
      </w:r>
      <w:r>
        <w:rPr>
          <w:rFonts w:hint="eastAsia" w:ascii="仿宋" w:hAnsi="仿宋" w:eastAsia="仿宋" w:cs="仿宋"/>
          <w:sz w:val="32"/>
          <w:szCs w:val="32"/>
        </w:rPr>
        <w:t>项目的购房登记规则。请有意向购买我公司该项目住房的购房人，按照以下规则进行购房登记：</w:t>
      </w:r>
    </w:p>
    <w:p>
      <w:pPr>
        <w:spacing w:line="550" w:lineRule="exact"/>
        <w:ind w:firstLine="800" w:firstLineChars="250"/>
        <w:rPr>
          <w:rFonts w:hint="eastAsia" w:ascii="黑体" w:hAnsi="黑体" w:eastAsia="黑体" w:cs="黑体"/>
          <w:bCs/>
          <w:sz w:val="32"/>
          <w:szCs w:val="32"/>
        </w:rPr>
      </w:pPr>
      <w:r>
        <w:rPr>
          <w:rFonts w:hint="eastAsia" w:ascii="黑体" w:hAnsi="黑体" w:eastAsia="黑体" w:cs="黑体"/>
          <w:bCs/>
          <w:sz w:val="32"/>
          <w:szCs w:val="32"/>
        </w:rPr>
        <w:t>一、房源状况及分配情况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本次公证摇号开盘销售的全部准售房源共</w:t>
      </w:r>
      <w:r>
        <w:rPr>
          <w:rFonts w:hint="eastAsia" w:ascii="仿宋" w:hAnsi="仿宋" w:eastAsia="仿宋" w:cs="仿宋"/>
          <w:sz w:val="32"/>
          <w:szCs w:val="32"/>
          <w:u w:val="single"/>
          <w:lang w:val="en-US" w:eastAsia="zh-CN"/>
        </w:rPr>
        <w:t>254</w:t>
      </w:r>
      <w:r>
        <w:rPr>
          <w:rFonts w:hint="eastAsia" w:ascii="仿宋" w:hAnsi="仿宋" w:eastAsia="仿宋" w:cs="仿宋"/>
          <w:sz w:val="32"/>
          <w:szCs w:val="32"/>
        </w:rPr>
        <w:t>套，面积约</w:t>
      </w:r>
      <w:r>
        <w:rPr>
          <w:rFonts w:hint="eastAsia" w:ascii="仿宋" w:hAnsi="仿宋" w:eastAsia="仿宋" w:cs="仿宋"/>
          <w:sz w:val="32"/>
          <w:szCs w:val="32"/>
          <w:lang w:val="en-US" w:eastAsia="zh-CN"/>
        </w:rPr>
        <w:t>36291.31</w:t>
      </w:r>
      <w:r>
        <w:rPr>
          <w:rFonts w:hint="eastAsia" w:ascii="仿宋" w:hAnsi="仿宋" w:eastAsia="仿宋" w:cs="仿宋"/>
          <w:sz w:val="32"/>
          <w:szCs w:val="32"/>
        </w:rPr>
        <w:t>㎡，其中</w:t>
      </w:r>
      <w:r>
        <w:rPr>
          <w:rFonts w:hint="eastAsia" w:ascii="仿宋" w:hAnsi="仿宋" w:eastAsia="仿宋" w:cs="仿宋"/>
          <w:sz w:val="32"/>
          <w:szCs w:val="32"/>
          <w:u w:val="single"/>
          <w:lang w:val="en-US" w:eastAsia="zh-CN"/>
        </w:rPr>
        <w:t>290-319</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室</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厅</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卫</w:t>
      </w:r>
      <w:r>
        <w:rPr>
          <w:rFonts w:hint="eastAsia" w:ascii="仿宋" w:hAnsi="仿宋" w:eastAsia="仿宋" w:cs="仿宋"/>
          <w:sz w:val="32"/>
          <w:szCs w:val="32"/>
        </w:rPr>
        <w:t>户型</w:t>
      </w:r>
      <w:r>
        <w:rPr>
          <w:rFonts w:hint="eastAsia" w:ascii="仿宋" w:hAnsi="仿宋" w:eastAsia="仿宋" w:cs="仿宋"/>
          <w:sz w:val="32"/>
          <w:szCs w:val="32"/>
          <w:u w:val="single"/>
          <w:lang w:val="en-US" w:eastAsia="zh-CN"/>
        </w:rPr>
        <w:t>16</w:t>
      </w:r>
      <w:r>
        <w:rPr>
          <w:rFonts w:hint="eastAsia" w:ascii="仿宋" w:hAnsi="仿宋" w:eastAsia="仿宋" w:cs="仿宋"/>
          <w:sz w:val="32"/>
          <w:szCs w:val="32"/>
        </w:rPr>
        <w:t>套，</w:t>
      </w:r>
      <w:r>
        <w:rPr>
          <w:rFonts w:hint="eastAsia" w:ascii="仿宋" w:hAnsi="仿宋" w:eastAsia="仿宋" w:cs="仿宋"/>
          <w:sz w:val="32"/>
          <w:szCs w:val="32"/>
          <w:u w:val="single"/>
          <w:lang w:val="en-US" w:eastAsia="zh-CN"/>
        </w:rPr>
        <w:t>87-92</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室</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厅</w:t>
      </w:r>
      <w:r>
        <w:rPr>
          <w:rFonts w:hint="eastAsia" w:ascii="仿宋" w:hAnsi="仿宋" w:eastAsia="仿宋" w:cs="仿宋"/>
          <w:sz w:val="32"/>
          <w:szCs w:val="32"/>
          <w:u w:val="single"/>
          <w:lang w:val="en-US" w:eastAsia="zh-CN"/>
        </w:rPr>
        <w:t>1</w:t>
      </w:r>
      <w:r>
        <w:rPr>
          <w:rFonts w:hint="eastAsia" w:ascii="仿宋" w:hAnsi="仿宋" w:eastAsia="仿宋" w:cs="仿宋"/>
          <w:sz w:val="32"/>
          <w:szCs w:val="32"/>
          <w:u w:val="single"/>
        </w:rPr>
        <w:t>卫</w:t>
      </w:r>
      <w:r>
        <w:rPr>
          <w:rFonts w:hint="eastAsia" w:ascii="仿宋" w:hAnsi="仿宋" w:eastAsia="仿宋" w:cs="仿宋"/>
          <w:sz w:val="32"/>
          <w:szCs w:val="32"/>
        </w:rPr>
        <w:t>户型</w:t>
      </w:r>
      <w:r>
        <w:rPr>
          <w:rFonts w:hint="eastAsia" w:ascii="仿宋" w:hAnsi="仿宋" w:eastAsia="仿宋" w:cs="仿宋"/>
          <w:sz w:val="32"/>
          <w:szCs w:val="32"/>
          <w:u w:val="single"/>
          <w:lang w:val="en-US" w:eastAsia="zh-CN"/>
        </w:rPr>
        <w:t>30</w:t>
      </w:r>
      <w:r>
        <w:rPr>
          <w:rFonts w:hint="eastAsia" w:ascii="仿宋" w:hAnsi="仿宋" w:eastAsia="仿宋" w:cs="仿宋"/>
          <w:sz w:val="32"/>
          <w:szCs w:val="32"/>
        </w:rPr>
        <w:t>套,</w:t>
      </w:r>
      <w:r>
        <w:rPr>
          <w:rFonts w:hint="eastAsia" w:ascii="仿宋" w:hAnsi="仿宋" w:eastAsia="仿宋" w:cs="仿宋"/>
          <w:sz w:val="32"/>
          <w:szCs w:val="32"/>
          <w:u w:val="single"/>
          <w:lang w:val="en-US" w:eastAsia="zh-CN"/>
        </w:rPr>
        <w:t>129-135</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室</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厅</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卫</w:t>
      </w:r>
      <w:r>
        <w:rPr>
          <w:rFonts w:hint="eastAsia" w:ascii="仿宋" w:hAnsi="仿宋" w:eastAsia="仿宋" w:cs="仿宋"/>
          <w:sz w:val="32"/>
          <w:szCs w:val="32"/>
        </w:rPr>
        <w:t>户型</w:t>
      </w:r>
      <w:r>
        <w:rPr>
          <w:rFonts w:hint="eastAsia" w:ascii="仿宋" w:hAnsi="仿宋" w:eastAsia="仿宋" w:cs="仿宋"/>
          <w:sz w:val="32"/>
          <w:szCs w:val="32"/>
          <w:u w:val="single"/>
          <w:lang w:val="en-US" w:eastAsia="zh-CN"/>
        </w:rPr>
        <w:t>160</w:t>
      </w:r>
      <w:r>
        <w:rPr>
          <w:rFonts w:hint="eastAsia" w:ascii="仿宋" w:hAnsi="仿宋" w:eastAsia="仿宋" w:cs="仿宋"/>
          <w:sz w:val="32"/>
          <w:szCs w:val="32"/>
        </w:rPr>
        <w:t>套</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117</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室</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厅</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卫</w:t>
      </w:r>
      <w:r>
        <w:rPr>
          <w:rFonts w:hint="eastAsia" w:ascii="仿宋" w:hAnsi="仿宋" w:eastAsia="仿宋" w:cs="仿宋"/>
          <w:sz w:val="32"/>
          <w:szCs w:val="32"/>
        </w:rPr>
        <w:t>户型</w:t>
      </w:r>
      <w:r>
        <w:rPr>
          <w:rFonts w:hint="eastAsia" w:ascii="仿宋" w:hAnsi="仿宋" w:eastAsia="仿宋" w:cs="仿宋"/>
          <w:sz w:val="32"/>
          <w:szCs w:val="32"/>
          <w:u w:val="single"/>
          <w:lang w:val="en-US" w:eastAsia="zh-CN"/>
        </w:rPr>
        <w:t>16</w:t>
      </w:r>
      <w:r>
        <w:rPr>
          <w:rFonts w:hint="eastAsia" w:ascii="仿宋" w:hAnsi="仿宋" w:eastAsia="仿宋" w:cs="仿宋"/>
          <w:sz w:val="32"/>
          <w:szCs w:val="32"/>
        </w:rPr>
        <w:t>套</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201-203</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4</w:t>
      </w:r>
      <w:r>
        <w:rPr>
          <w:rFonts w:hint="eastAsia" w:ascii="仿宋" w:hAnsi="仿宋" w:eastAsia="仿宋" w:cs="仿宋"/>
          <w:sz w:val="32"/>
          <w:szCs w:val="32"/>
          <w:u w:val="single"/>
        </w:rPr>
        <w:t>室</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厅</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卫</w:t>
      </w:r>
      <w:r>
        <w:rPr>
          <w:rFonts w:hint="eastAsia" w:ascii="仿宋" w:hAnsi="仿宋" w:eastAsia="仿宋" w:cs="仿宋"/>
          <w:sz w:val="32"/>
          <w:szCs w:val="32"/>
        </w:rPr>
        <w:t>户型</w:t>
      </w:r>
      <w:r>
        <w:rPr>
          <w:rFonts w:hint="eastAsia" w:ascii="仿宋" w:hAnsi="仿宋" w:eastAsia="仿宋" w:cs="仿宋"/>
          <w:sz w:val="32"/>
          <w:szCs w:val="32"/>
          <w:u w:val="single"/>
          <w:lang w:val="en-US" w:eastAsia="zh-CN"/>
        </w:rPr>
        <w:t>16</w:t>
      </w:r>
      <w:r>
        <w:rPr>
          <w:rFonts w:hint="eastAsia" w:ascii="仿宋" w:hAnsi="仿宋" w:eastAsia="仿宋" w:cs="仿宋"/>
          <w:sz w:val="32"/>
          <w:szCs w:val="32"/>
        </w:rPr>
        <w:t>套</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174-176</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室</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厅</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卫</w:t>
      </w:r>
      <w:r>
        <w:rPr>
          <w:rFonts w:hint="eastAsia" w:ascii="仿宋" w:hAnsi="仿宋" w:eastAsia="仿宋" w:cs="仿宋"/>
          <w:sz w:val="32"/>
          <w:szCs w:val="32"/>
        </w:rPr>
        <w:t>户型</w:t>
      </w:r>
      <w:r>
        <w:rPr>
          <w:rFonts w:hint="eastAsia" w:ascii="仿宋" w:hAnsi="仿宋" w:eastAsia="仿宋" w:cs="仿宋"/>
          <w:sz w:val="32"/>
          <w:szCs w:val="32"/>
          <w:u w:val="single"/>
          <w:lang w:val="en-US" w:eastAsia="zh-CN"/>
        </w:rPr>
        <w:t>16</w:t>
      </w:r>
      <w:r>
        <w:rPr>
          <w:rFonts w:hint="eastAsia" w:ascii="仿宋" w:hAnsi="仿宋" w:eastAsia="仿宋" w:cs="仿宋"/>
          <w:sz w:val="32"/>
          <w:szCs w:val="32"/>
        </w:rPr>
        <w:t>套。</w:t>
      </w:r>
    </w:p>
    <w:p>
      <w:pPr>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上述房源中提供</w:t>
      </w:r>
      <w:r>
        <w:rPr>
          <w:rFonts w:hint="eastAsia" w:ascii="仿宋" w:hAnsi="仿宋" w:eastAsia="仿宋" w:cs="仿宋"/>
          <w:sz w:val="32"/>
          <w:szCs w:val="32"/>
          <w:u w:val="single"/>
          <w:lang w:val="en-US" w:eastAsia="zh-CN"/>
        </w:rPr>
        <w:t>26</w:t>
      </w:r>
      <w:r>
        <w:rPr>
          <w:rFonts w:hint="eastAsia" w:ascii="仿宋" w:hAnsi="仿宋" w:eastAsia="仿宋" w:cs="仿宋"/>
          <w:sz w:val="32"/>
          <w:szCs w:val="32"/>
        </w:rPr>
        <w:t>套用于棚改货币化安置住户</w:t>
      </w:r>
      <w:r>
        <w:rPr>
          <w:rFonts w:hint="eastAsia" w:ascii="仿宋" w:hAnsi="仿宋" w:eastAsia="仿宋" w:cs="仿宋"/>
          <w:color w:val="000000"/>
          <w:sz w:val="32"/>
          <w:szCs w:val="32"/>
        </w:rPr>
        <w:t>优先摇号、优先选房（若符合条件的</w:t>
      </w:r>
      <w:r>
        <w:rPr>
          <w:rFonts w:hint="eastAsia" w:ascii="仿宋" w:hAnsi="仿宋" w:eastAsia="仿宋" w:cs="仿宋"/>
          <w:sz w:val="32"/>
          <w:szCs w:val="32"/>
        </w:rPr>
        <w:t>棚改货币化安置住户人数少于</w:t>
      </w:r>
      <w:r>
        <w:rPr>
          <w:rFonts w:hint="eastAsia" w:ascii="仿宋" w:hAnsi="仿宋" w:eastAsia="仿宋" w:cs="仿宋"/>
          <w:sz w:val="32"/>
          <w:szCs w:val="32"/>
          <w:u w:val="single"/>
          <w:lang w:val="en-US" w:eastAsia="zh-CN"/>
        </w:rPr>
        <w:t>26</w:t>
      </w:r>
      <w:r>
        <w:rPr>
          <w:rFonts w:hint="eastAsia" w:ascii="仿宋" w:hAnsi="仿宋" w:eastAsia="仿宋" w:cs="仿宋"/>
          <w:sz w:val="32"/>
          <w:szCs w:val="32"/>
        </w:rPr>
        <w:t>，剩余房源统一纳入总房源，由</w:t>
      </w:r>
      <w:r>
        <w:rPr>
          <w:rFonts w:hint="eastAsia" w:ascii="仿宋" w:hAnsi="仿宋" w:eastAsia="仿宋" w:cs="仿宋"/>
          <w:sz w:val="32"/>
          <w:szCs w:val="32"/>
          <w:shd w:val="clear" w:color="auto" w:fill="FFFFFF"/>
        </w:rPr>
        <w:t>普通登记购房人按摇号排序结果依序选房</w:t>
      </w:r>
      <w:r>
        <w:rPr>
          <w:rFonts w:hint="eastAsia" w:ascii="仿宋" w:hAnsi="仿宋" w:eastAsia="仿宋" w:cs="仿宋"/>
          <w:sz w:val="32"/>
          <w:szCs w:val="32"/>
        </w:rPr>
        <w:t>）。</w:t>
      </w:r>
    </w:p>
    <w:p>
      <w:pPr>
        <w:spacing w:line="55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二、支持棚改货币化安置住户优先摇号、优先选房</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（一）补偿协议生效后，未在我市住房限购区域内购买住房；</w:t>
      </w:r>
    </w:p>
    <w:p>
      <w:pPr>
        <w:adjustRightInd w:val="0"/>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（二）补偿协议生效后，已在我市住房限购区域内购买住房，但购房日期为2017年3月24日之前，且所购房屋为二手住房。</w:t>
      </w:r>
    </w:p>
    <w:p>
      <w:pPr>
        <w:spacing w:line="55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三、信息公示</w:t>
      </w:r>
    </w:p>
    <w:p>
      <w:pPr>
        <w:spacing w:line="550" w:lineRule="exact"/>
        <w:ind w:firstLine="627" w:firstLineChars="196"/>
        <w:rPr>
          <w:rFonts w:hint="eastAsia" w:ascii="仿宋" w:hAnsi="仿宋" w:eastAsia="仿宋" w:cs="仿宋"/>
          <w:sz w:val="32"/>
          <w:szCs w:val="32"/>
        </w:rPr>
      </w:pPr>
      <w:r>
        <w:rPr>
          <w:rFonts w:hint="eastAsia" w:ascii="仿宋" w:hAnsi="仿宋" w:eastAsia="仿宋" w:cs="仿宋"/>
          <w:sz w:val="32"/>
          <w:szCs w:val="32"/>
        </w:rPr>
        <w:t>（一）公告时间：取得预售许可证</w:t>
      </w:r>
      <w:r>
        <w:rPr>
          <w:rFonts w:hint="eastAsia" w:ascii="仿宋" w:hAnsi="仿宋" w:eastAsia="仿宋" w:cs="仿宋"/>
          <w:sz w:val="32"/>
          <w:szCs w:val="32"/>
          <w:u w:val="single"/>
        </w:rPr>
        <w:t>第2天</w:t>
      </w:r>
      <w:r>
        <w:rPr>
          <w:rFonts w:hint="eastAsia" w:ascii="仿宋" w:hAnsi="仿宋" w:eastAsia="仿宋" w:cs="仿宋"/>
          <w:sz w:val="32"/>
          <w:szCs w:val="32"/>
        </w:rPr>
        <w:t>至开盘销售结束时止。</w:t>
      </w:r>
    </w:p>
    <w:p>
      <w:pPr>
        <w:spacing w:line="550" w:lineRule="exact"/>
        <w:ind w:firstLine="627" w:firstLineChars="196"/>
        <w:rPr>
          <w:rFonts w:hint="eastAsia" w:ascii="仿宋" w:hAnsi="仿宋" w:eastAsia="仿宋" w:cs="仿宋"/>
          <w:sz w:val="32"/>
          <w:szCs w:val="32"/>
          <w:u w:val="single"/>
        </w:rPr>
      </w:pPr>
      <w:r>
        <w:rPr>
          <w:rFonts w:hint="eastAsia" w:ascii="仿宋" w:hAnsi="仿宋" w:eastAsia="仿宋" w:cs="仿宋"/>
          <w:sz w:val="32"/>
          <w:szCs w:val="32"/>
        </w:rPr>
        <w:t>（二）公告地点：</w:t>
      </w:r>
      <w:r>
        <w:rPr>
          <w:rFonts w:hint="eastAsia" w:ascii="仿宋" w:hAnsi="仿宋" w:eastAsia="仿宋" w:cs="仿宋"/>
          <w:sz w:val="32"/>
          <w:szCs w:val="32"/>
          <w:lang w:eastAsia="zh-CN"/>
        </w:rPr>
        <w:t>嘉源红郡</w:t>
      </w:r>
      <w:r>
        <w:rPr>
          <w:rFonts w:hint="eastAsia" w:ascii="仿宋" w:hAnsi="仿宋" w:eastAsia="仿宋" w:cs="仿宋"/>
          <w:sz w:val="32"/>
          <w:szCs w:val="32"/>
        </w:rPr>
        <w:t>销售中心现场、</w:t>
      </w:r>
      <w:r>
        <w:rPr>
          <w:rFonts w:hint="eastAsia" w:ascii="仿宋" w:hAnsi="仿宋" w:eastAsia="仿宋" w:cs="仿宋"/>
          <w:sz w:val="32"/>
          <w:szCs w:val="32"/>
          <w:u w:val="single"/>
        </w:rPr>
        <w:t>微信公众号(</w:t>
      </w:r>
      <w:r>
        <w:rPr>
          <w:rFonts w:hint="eastAsia" w:ascii="仿宋" w:hAnsi="仿宋" w:eastAsia="仿宋" w:cs="仿宋"/>
          <w:sz w:val="32"/>
          <w:szCs w:val="32"/>
          <w:u w:val="single"/>
          <w:lang w:val="en-US" w:eastAsia="zh-CN"/>
        </w:rPr>
        <w:t>JYCYND</w:t>
      </w:r>
      <w:r>
        <w:rPr>
          <w:rFonts w:hint="eastAsia" w:ascii="仿宋" w:hAnsi="仿宋" w:eastAsia="仿宋" w:cs="仿宋"/>
          <w:sz w:val="32"/>
          <w:szCs w:val="32"/>
          <w:u w:val="single"/>
        </w:rPr>
        <w:t>)。</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（三）公示内容：</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1．商品房预售许可证、购房登记规则、</w:t>
      </w:r>
      <w:r>
        <w:rPr>
          <w:rFonts w:hint="eastAsia" w:ascii="仿宋" w:hAnsi="仿宋" w:eastAsia="仿宋" w:cs="仿宋"/>
          <w:color w:val="000000"/>
          <w:sz w:val="32"/>
          <w:szCs w:val="32"/>
        </w:rPr>
        <w:t>按序选房规则</w:t>
      </w:r>
      <w:r>
        <w:rPr>
          <w:rFonts w:hint="eastAsia" w:ascii="仿宋" w:hAnsi="仿宋" w:eastAsia="仿宋" w:cs="仿宋"/>
          <w:sz w:val="32"/>
          <w:szCs w:val="32"/>
        </w:rPr>
        <w:t>、商品房销售方案；</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2．全部准售房源（含户型）、包括明确用于棚改货币化安置住户优先摇号选购的套数，按申报价格对每套房源明码标价</w:t>
      </w:r>
      <w:r>
        <w:rPr>
          <w:rFonts w:hint="eastAsia" w:ascii="仿宋" w:hAnsi="仿宋" w:eastAsia="仿宋" w:cs="仿宋"/>
          <w:sz w:val="32"/>
          <w:szCs w:val="32"/>
          <w:shd w:val="clear" w:color="auto" w:fill="FFFFFF"/>
        </w:rPr>
        <w:t>（含装修的，分别标明房屋申报价格和经核查的装修工程价格）</w:t>
      </w:r>
      <w:r>
        <w:rPr>
          <w:rFonts w:hint="eastAsia" w:ascii="仿宋" w:hAnsi="仿宋" w:eastAsia="仿宋" w:cs="仿宋"/>
          <w:sz w:val="32"/>
          <w:szCs w:val="32"/>
        </w:rPr>
        <w:t>；</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3．网上登记时间、现场核验购房资格的地址、时间及注意事项；</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4．摇号和排序结果公布时间、选房时间等规定的内容;</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5．公证机构受理摇号排序选房公证的说明（包括公证机构名称、公证内容等）；</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6．商品住房开盘销售公证摇号选购流程；</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7．其他按规定应公示的内容（如商品住房位于我市住房限购区域的，还应公示相关房地产市场调控政策文件）。</w:t>
      </w:r>
    </w:p>
    <w:p>
      <w:pPr>
        <w:spacing w:line="55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四、网上登记</w:t>
      </w:r>
    </w:p>
    <w:p>
      <w:pPr>
        <w:spacing w:line="550" w:lineRule="exact"/>
        <w:ind w:firstLine="640" w:firstLineChars="200"/>
        <w:rPr>
          <w:rFonts w:hint="eastAsia" w:ascii="仿宋" w:hAnsi="仿宋" w:eastAsia="仿宋" w:cs="仿宋"/>
          <w:b/>
          <w:sz w:val="32"/>
          <w:szCs w:val="32"/>
          <w:u w:val="single"/>
        </w:rPr>
      </w:pPr>
      <w:r>
        <w:rPr>
          <w:rFonts w:hint="eastAsia" w:ascii="仿宋" w:hAnsi="仿宋" w:eastAsia="仿宋" w:cs="仿宋"/>
          <w:color w:val="000000"/>
          <w:sz w:val="32"/>
          <w:szCs w:val="32"/>
        </w:rPr>
        <w:t>（一）登记时间：取得预售许可证</w:t>
      </w:r>
      <w:r>
        <w:rPr>
          <w:rFonts w:hint="eastAsia" w:ascii="仿宋" w:hAnsi="仿宋" w:eastAsia="仿宋" w:cs="仿宋"/>
          <w:color w:val="000000"/>
          <w:sz w:val="32"/>
          <w:szCs w:val="32"/>
          <w:u w:val="single"/>
        </w:rPr>
        <w:t>第2-4天</w:t>
      </w:r>
      <w:r>
        <w:rPr>
          <w:rFonts w:hint="eastAsia" w:ascii="仿宋" w:hAnsi="仿宋" w:eastAsia="仿宋" w:cs="仿宋"/>
          <w:color w:val="000000"/>
          <w:sz w:val="32"/>
          <w:szCs w:val="32"/>
        </w:rPr>
        <w:t>（每天9：00-18:00）。</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（二）登记方式：登记购房人按我公司公示的时间，自行登陆成都住宅与房地产业协会网站（www.cdfangxie.com），按要求在商品住房购房登记平台填报信息，</w:t>
      </w:r>
      <w:r>
        <w:rPr>
          <w:rFonts w:hint="eastAsia" w:ascii="仿宋" w:hAnsi="仿宋" w:eastAsia="仿宋" w:cs="仿宋"/>
          <w:sz w:val="32"/>
          <w:szCs w:val="32"/>
          <w:shd w:val="clear" w:color="auto" w:fill="FFFFFF"/>
        </w:rPr>
        <w:t>购房登记平台确认信息后，自动生成购房登记号。</w:t>
      </w:r>
    </w:p>
    <w:p>
      <w:pPr>
        <w:spacing w:line="550" w:lineRule="exact"/>
        <w:ind w:firstLine="640" w:firstLineChars="200"/>
        <w:rPr>
          <w:rFonts w:hint="eastAsia" w:ascii="仿宋" w:hAnsi="仿宋" w:eastAsia="仿宋" w:cs="仿宋"/>
          <w:b/>
          <w:sz w:val="32"/>
          <w:szCs w:val="32"/>
        </w:rPr>
      </w:pPr>
      <w:r>
        <w:rPr>
          <w:rFonts w:hint="eastAsia" w:ascii="仿宋" w:hAnsi="仿宋" w:eastAsia="仿宋" w:cs="仿宋"/>
          <w:sz w:val="32"/>
          <w:szCs w:val="32"/>
          <w:shd w:val="clear" w:color="auto" w:fill="FFFFFF"/>
        </w:rPr>
        <w:t>注意：未在网上实名登记但要求现场购房登记或核验购房资格的，我公司将不予受理。</w:t>
      </w:r>
    </w:p>
    <w:p>
      <w:pPr>
        <w:spacing w:line="55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五、核验购房资格</w:t>
      </w:r>
    </w:p>
    <w:p>
      <w:pPr>
        <w:spacing w:line="550" w:lineRule="exact"/>
        <w:ind w:firstLine="645"/>
        <w:rPr>
          <w:rFonts w:hint="eastAsia" w:ascii="仿宋" w:hAnsi="仿宋" w:eastAsia="仿宋" w:cs="仿宋"/>
          <w:sz w:val="32"/>
          <w:szCs w:val="32"/>
          <w:u w:val="single"/>
        </w:rPr>
      </w:pPr>
      <w:r>
        <w:rPr>
          <w:rFonts w:hint="eastAsia" w:ascii="楷体" w:hAnsi="楷体" w:eastAsia="楷体" w:cs="楷体"/>
          <w:bCs/>
          <w:sz w:val="32"/>
          <w:szCs w:val="32"/>
        </w:rPr>
        <w:t>（一）资格核验时间</w:t>
      </w:r>
      <w:r>
        <w:rPr>
          <w:rFonts w:hint="eastAsia" w:ascii="仿宋" w:hAnsi="仿宋" w:eastAsia="仿宋" w:cs="仿宋"/>
          <w:bCs/>
          <w:sz w:val="32"/>
          <w:szCs w:val="32"/>
        </w:rPr>
        <w:t>。</w:t>
      </w:r>
      <w:r>
        <w:rPr>
          <w:rFonts w:hint="eastAsia" w:ascii="仿宋" w:hAnsi="仿宋" w:eastAsia="仿宋" w:cs="仿宋"/>
          <w:sz w:val="32"/>
          <w:szCs w:val="32"/>
        </w:rPr>
        <w:t>取得预售许可证后</w:t>
      </w:r>
      <w:r>
        <w:rPr>
          <w:rFonts w:hint="eastAsia" w:ascii="仿宋" w:hAnsi="仿宋" w:eastAsia="仿宋" w:cs="仿宋"/>
          <w:sz w:val="32"/>
          <w:szCs w:val="32"/>
          <w:u w:val="single"/>
        </w:rPr>
        <w:t>第3天至核验完成。</w:t>
      </w:r>
    </w:p>
    <w:p>
      <w:pPr>
        <w:spacing w:line="550" w:lineRule="exact"/>
        <w:ind w:firstLine="645"/>
        <w:rPr>
          <w:rFonts w:hint="eastAsia" w:ascii="仿宋" w:hAnsi="仿宋" w:eastAsia="仿宋" w:cs="仿宋"/>
          <w:sz w:val="32"/>
          <w:szCs w:val="32"/>
        </w:rPr>
      </w:pPr>
      <w:r>
        <w:rPr>
          <w:rFonts w:hint="eastAsia" w:ascii="楷体" w:hAnsi="楷体" w:eastAsia="楷体" w:cs="楷体"/>
          <w:sz w:val="32"/>
          <w:szCs w:val="32"/>
        </w:rPr>
        <w:t>（二）</w:t>
      </w:r>
      <w:r>
        <w:rPr>
          <w:rFonts w:hint="eastAsia" w:ascii="楷体" w:hAnsi="楷体" w:eastAsia="楷体" w:cs="楷体"/>
          <w:bCs/>
          <w:sz w:val="32"/>
          <w:szCs w:val="32"/>
        </w:rPr>
        <w:t>资格核验地点。</w:t>
      </w:r>
      <w:r>
        <w:rPr>
          <w:rFonts w:hint="eastAsia" w:ascii="仿宋" w:hAnsi="仿宋" w:eastAsia="仿宋" w:cs="仿宋"/>
          <w:sz w:val="32"/>
          <w:szCs w:val="32"/>
        </w:rPr>
        <w:t>请登记购房人按我公司电话或短信通知的时间，到</w:t>
      </w:r>
      <w:r>
        <w:rPr>
          <w:rFonts w:hint="eastAsia" w:ascii="仿宋" w:hAnsi="仿宋" w:eastAsia="仿宋" w:cs="仿宋"/>
          <w:sz w:val="32"/>
          <w:szCs w:val="32"/>
          <w:u w:val="single"/>
          <w:lang w:eastAsia="zh-CN"/>
        </w:rPr>
        <w:t>嘉源红郡</w:t>
      </w:r>
      <w:r>
        <w:rPr>
          <w:rFonts w:hint="eastAsia" w:ascii="仿宋" w:hAnsi="仿宋" w:eastAsia="仿宋" w:cs="仿宋"/>
          <w:sz w:val="32"/>
          <w:szCs w:val="32"/>
          <w:u w:val="single"/>
        </w:rPr>
        <w:t>销售中心现场</w:t>
      </w:r>
      <w:r>
        <w:rPr>
          <w:rFonts w:hint="eastAsia" w:ascii="仿宋" w:hAnsi="仿宋" w:eastAsia="仿宋" w:cs="仿宋"/>
          <w:sz w:val="32"/>
          <w:szCs w:val="32"/>
        </w:rPr>
        <w:t>提交需核验的资料（资格核验现场布置图见附件1）。</w:t>
      </w:r>
    </w:p>
    <w:p>
      <w:pPr>
        <w:spacing w:line="550" w:lineRule="exact"/>
        <w:ind w:firstLine="645"/>
        <w:rPr>
          <w:rFonts w:hint="eastAsia" w:ascii="仿宋" w:hAnsi="仿宋" w:eastAsia="仿宋" w:cs="仿宋"/>
          <w:sz w:val="32"/>
          <w:szCs w:val="32"/>
        </w:rPr>
      </w:pPr>
      <w:r>
        <w:rPr>
          <w:rFonts w:hint="eastAsia" w:ascii="仿宋" w:hAnsi="仿宋" w:eastAsia="仿宋" w:cs="仿宋"/>
          <w:sz w:val="32"/>
          <w:szCs w:val="32"/>
        </w:rPr>
        <w:t>注意：登记购房人在我公司通知的时间内未提交材料或未通过资格核验的视为无效登记。无效登记的将通过电话、短信通知、签字确认等方式告知登记购房人。</w:t>
      </w:r>
    </w:p>
    <w:p>
      <w:pPr>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（三）购房资格材料。请网上登记成功的购房人按照我公司通知的时间，分批次分时段至</w:t>
      </w:r>
      <w:r>
        <w:rPr>
          <w:rFonts w:hint="eastAsia" w:ascii="仿宋" w:hAnsi="仿宋" w:eastAsia="仿宋" w:cs="仿宋"/>
          <w:sz w:val="32"/>
          <w:szCs w:val="32"/>
          <w:u w:val="single"/>
          <w:lang w:eastAsia="zh-CN"/>
        </w:rPr>
        <w:t>嘉源红郡</w:t>
      </w:r>
      <w:r>
        <w:rPr>
          <w:rFonts w:hint="eastAsia" w:ascii="仿宋" w:hAnsi="仿宋" w:eastAsia="仿宋" w:cs="仿宋"/>
          <w:sz w:val="32"/>
          <w:szCs w:val="32"/>
          <w:u w:val="single"/>
        </w:rPr>
        <w:t>销售中心现场（</w:t>
      </w:r>
      <w:r>
        <w:rPr>
          <w:rFonts w:hint="eastAsia" w:ascii="仿宋" w:hAnsi="仿宋" w:eastAsia="仿宋" w:cs="仿宋"/>
          <w:sz w:val="32"/>
          <w:szCs w:val="32"/>
          <w:u w:val="single"/>
          <w:lang w:eastAsia="zh-CN"/>
        </w:rPr>
        <w:t>成都市温江区金马镇太极大道</w:t>
      </w:r>
      <w:r>
        <w:rPr>
          <w:rFonts w:hint="eastAsia" w:ascii="仿宋" w:hAnsi="仿宋" w:eastAsia="仿宋" w:cs="仿宋"/>
          <w:sz w:val="32"/>
          <w:szCs w:val="32"/>
          <w:u w:val="single"/>
          <w:lang w:val="en-US" w:eastAsia="zh-CN"/>
        </w:rPr>
        <w:t>158号</w:t>
      </w:r>
      <w:r>
        <w:rPr>
          <w:rFonts w:hint="eastAsia" w:ascii="仿宋" w:hAnsi="仿宋" w:eastAsia="仿宋" w:cs="仿宋"/>
          <w:sz w:val="32"/>
          <w:szCs w:val="32"/>
          <w:u w:val="single"/>
        </w:rPr>
        <w:t>）</w:t>
      </w:r>
      <w:r>
        <w:rPr>
          <w:rFonts w:hint="eastAsia" w:ascii="仿宋" w:hAnsi="仿宋" w:eastAsia="仿宋" w:cs="仿宋"/>
          <w:sz w:val="32"/>
          <w:szCs w:val="32"/>
        </w:rPr>
        <w:t>提交下列购房资格材料：</w:t>
      </w:r>
    </w:p>
    <w:p>
      <w:pPr>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1.登记购房人的身份证明（核原件收复印件）；</w:t>
      </w:r>
    </w:p>
    <w:p>
      <w:pPr>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仿宋" w:hAnsi="仿宋" w:eastAsia="仿宋" w:cs="仿宋"/>
          <w:sz w:val="32"/>
          <w:szCs w:val="32"/>
          <w:shd w:val="clear" w:color="auto" w:fill="FFFFFF"/>
        </w:rPr>
        <w:t>首付款按四川省商业性个人住房贷款最低首付款比例确定</w:t>
      </w:r>
      <w:r>
        <w:rPr>
          <w:rFonts w:hint="eastAsia" w:ascii="仿宋" w:hAnsi="仿宋" w:eastAsia="仿宋" w:cs="仿宋"/>
          <w:sz w:val="32"/>
          <w:szCs w:val="32"/>
        </w:rPr>
        <w:t>，最终以按揭银行审定的结果为准）；</w:t>
      </w:r>
    </w:p>
    <w:p>
      <w:pPr>
        <w:spacing w:line="55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3.如登记购房人委托他人提交相关核验资料的，需核验委托书、委托人和受委托人的身份证明等资料；</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4.登记购房人为棚改货币化安置住户的，需核验登记购房人通过成都市房屋征收系统自助终端机打印并经棚改实施单位及属地房管部门加盖公章的《成都市国有土地上房屋征收补偿安置合同备案表》（货币补偿），温江区棚改货币化安置住户打印地点：</w:t>
      </w:r>
      <w:r>
        <w:rPr>
          <w:rFonts w:hint="eastAsia" w:ascii="仿宋" w:hAnsi="仿宋" w:eastAsia="仿宋" w:cs="仿宋"/>
          <w:sz w:val="32"/>
          <w:szCs w:val="32"/>
          <w:u w:val="single"/>
          <w:shd w:val="clear" w:color="auto" w:fill="FFFFFF"/>
        </w:rPr>
        <w:t>成都市温江区人和路733号海科大厦6号楼5楼60515</w:t>
      </w:r>
      <w:r>
        <w:rPr>
          <w:rFonts w:hint="eastAsia" w:ascii="仿宋" w:hAnsi="仿宋" w:eastAsia="仿宋" w:cs="仿宋"/>
          <w:sz w:val="32"/>
          <w:szCs w:val="32"/>
          <w:shd w:val="clear" w:color="auto" w:fill="FFFFFF"/>
        </w:rPr>
        <w:t>；</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5.由于我公司该项目位于我市住房限购区域，因此还需核验：</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（1）登记购房人的户籍证明或登记购房人社保缴纳明细、稳定就业证明（加盖就业单位公章，参考样式见附件2）；</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（2）重大招商引资项目和机关企事业单位引进的高端人才（含紧缺人才），需核验登记购房人身份证明和区政府（或管委会）等出具的证明或人才绿卡；</w:t>
      </w:r>
    </w:p>
    <w:p>
      <w:pPr>
        <w:spacing w:line="550" w:lineRule="exact"/>
        <w:ind w:firstLine="640"/>
        <w:rPr>
          <w:rFonts w:hint="eastAsia" w:ascii="仿宋" w:hAnsi="仿宋" w:eastAsia="仿宋" w:cs="仿宋"/>
          <w:sz w:val="32"/>
          <w:szCs w:val="32"/>
        </w:rPr>
      </w:pPr>
      <w:r>
        <w:rPr>
          <w:rFonts w:hint="eastAsia" w:ascii="仿宋" w:hAnsi="仿宋" w:eastAsia="仿宋" w:cs="仿宋"/>
          <w:sz w:val="32"/>
          <w:szCs w:val="32"/>
        </w:rPr>
        <w:t>（3）部队所在地在我市住房限购区域的现役军人，需核验其部队团级以上单位开具部队驻扎地在成都限购区域的证明(</w:t>
      </w:r>
      <w:r>
        <w:rPr>
          <w:rFonts w:hint="eastAsia" w:ascii="仿宋" w:hAnsi="仿宋" w:eastAsia="仿宋" w:cs="仿宋"/>
          <w:sz w:val="32"/>
          <w:szCs w:val="32"/>
          <w:shd w:val="clear" w:color="auto" w:fill="FFFFFF"/>
        </w:rPr>
        <w:t>参考样式见附件3)</w:t>
      </w:r>
      <w:r>
        <w:rPr>
          <w:rFonts w:hint="eastAsia" w:ascii="仿宋" w:hAnsi="仿宋" w:eastAsia="仿宋" w:cs="仿宋"/>
          <w:sz w:val="32"/>
          <w:szCs w:val="32"/>
        </w:rPr>
        <w:t>。</w:t>
      </w:r>
    </w:p>
    <w:p>
      <w:pPr>
        <w:spacing w:line="550" w:lineRule="exact"/>
        <w:ind w:firstLine="800" w:firstLineChars="250"/>
        <w:rPr>
          <w:rFonts w:hint="eastAsia" w:ascii="黑体" w:hAnsi="黑体" w:eastAsia="黑体" w:cs="黑体"/>
          <w:bCs/>
          <w:color w:val="000000"/>
          <w:sz w:val="32"/>
          <w:szCs w:val="32"/>
        </w:rPr>
      </w:pPr>
      <w:r>
        <w:rPr>
          <w:rFonts w:hint="eastAsia" w:ascii="黑体" w:hAnsi="黑体" w:eastAsia="黑体" w:cs="黑体"/>
          <w:bCs/>
          <w:color w:val="000000"/>
          <w:sz w:val="32"/>
          <w:szCs w:val="32"/>
        </w:rPr>
        <w:t>六、购房资格核验结果反馈和资料保存</w:t>
      </w:r>
    </w:p>
    <w:p>
      <w:pPr>
        <w:spacing w:line="550" w:lineRule="exact"/>
        <w:ind w:firstLine="640" w:firstLineChars="200"/>
        <w:rPr>
          <w:rFonts w:hint="eastAsia" w:ascii="仿宋" w:hAnsi="仿宋" w:eastAsia="仿宋" w:cs="仿宋"/>
          <w:sz w:val="32"/>
          <w:szCs w:val="32"/>
        </w:rPr>
      </w:pPr>
      <w:r>
        <w:rPr>
          <w:rFonts w:hint="eastAsia" w:ascii="楷体" w:hAnsi="楷体" w:eastAsia="楷体" w:cs="楷体"/>
          <w:sz w:val="32"/>
          <w:szCs w:val="32"/>
        </w:rPr>
        <w:t>（一）核验结果反馈。</w:t>
      </w:r>
      <w:r>
        <w:rPr>
          <w:rFonts w:hint="eastAsia" w:ascii="仿宋" w:hAnsi="仿宋" w:eastAsia="仿宋" w:cs="仿宋"/>
          <w:sz w:val="32"/>
          <w:szCs w:val="32"/>
        </w:rPr>
        <w:t>购房资格核验结束后，我公司将通过短信、微信等方式，将购房资格核验结果反馈给登记购房人，包含购房登记号、登记购房人姓名、身份证号码、核验结果（未核验通过的注明原因）等。</w:t>
      </w:r>
    </w:p>
    <w:p>
      <w:pPr>
        <w:spacing w:line="550" w:lineRule="exact"/>
        <w:ind w:firstLine="640" w:firstLineChars="200"/>
        <w:rPr>
          <w:rFonts w:hint="eastAsia" w:ascii="仿宋" w:hAnsi="仿宋" w:eastAsia="仿宋" w:cs="仿宋"/>
          <w:sz w:val="32"/>
          <w:szCs w:val="32"/>
        </w:rPr>
      </w:pPr>
      <w:r>
        <w:rPr>
          <w:rFonts w:hint="eastAsia" w:ascii="楷体" w:hAnsi="楷体" w:eastAsia="楷体" w:cs="楷体"/>
          <w:sz w:val="32"/>
          <w:szCs w:val="32"/>
        </w:rPr>
        <w:t>（二）资料保存。</w:t>
      </w:r>
      <w:r>
        <w:rPr>
          <w:rFonts w:hint="eastAsia" w:ascii="仿宋" w:hAnsi="仿宋" w:eastAsia="仿宋" w:cs="仿宋"/>
          <w:sz w:val="32"/>
          <w:szCs w:val="32"/>
        </w:rPr>
        <w:t>我公司将妥善保存已核验的购房资格资料，并将《棚改货币化安置住户登记购房名册》和《普通登记购房人名册》报送</w:t>
      </w:r>
      <w:r>
        <w:rPr>
          <w:rFonts w:hint="eastAsia" w:ascii="仿宋" w:hAnsi="仿宋" w:eastAsia="仿宋" w:cs="仿宋"/>
          <w:color w:val="000000"/>
          <w:sz w:val="32"/>
          <w:szCs w:val="32"/>
          <w:u w:val="single"/>
        </w:rPr>
        <w:t>温江区房管局</w:t>
      </w:r>
      <w:r>
        <w:rPr>
          <w:rFonts w:hint="eastAsia" w:ascii="仿宋" w:hAnsi="仿宋" w:eastAsia="仿宋" w:cs="仿宋"/>
          <w:sz w:val="32"/>
          <w:szCs w:val="32"/>
        </w:rPr>
        <w:t>，包括汇总的初始名册和</w:t>
      </w:r>
      <w:r>
        <w:rPr>
          <w:rFonts w:hint="eastAsia" w:ascii="仿宋" w:hAnsi="仿宋" w:eastAsia="仿宋" w:cs="仿宋"/>
          <w:sz w:val="32"/>
          <w:szCs w:val="32"/>
          <w:u w:val="single"/>
        </w:rPr>
        <w:t>复核</w:t>
      </w:r>
      <w:r>
        <w:rPr>
          <w:rFonts w:hint="eastAsia" w:ascii="仿宋" w:hAnsi="仿宋" w:eastAsia="仿宋" w:cs="仿宋"/>
          <w:sz w:val="32"/>
          <w:szCs w:val="32"/>
        </w:rPr>
        <w:t>后的名册。</w:t>
      </w:r>
    </w:p>
    <w:p>
      <w:pPr>
        <w:spacing w:line="550" w:lineRule="exact"/>
        <w:ind w:firstLine="640" w:firstLineChars="200"/>
        <w:rPr>
          <w:rFonts w:hint="eastAsia" w:ascii="黑体" w:hAnsi="黑体" w:eastAsia="黑体" w:cs="黑体"/>
          <w:bCs/>
          <w:color w:val="000000"/>
          <w:sz w:val="32"/>
          <w:szCs w:val="32"/>
        </w:rPr>
      </w:pPr>
      <w:r>
        <w:rPr>
          <w:rFonts w:hint="eastAsia" w:ascii="黑体" w:hAnsi="黑体" w:eastAsia="黑体" w:cs="黑体"/>
          <w:bCs/>
          <w:color w:val="000000"/>
          <w:sz w:val="32"/>
          <w:szCs w:val="32"/>
        </w:rPr>
        <w:t>七、购房资格复核</w:t>
      </w:r>
    </w:p>
    <w:p>
      <w:pPr>
        <w:spacing w:line="550" w:lineRule="exact"/>
        <w:ind w:firstLine="640" w:firstLineChars="200"/>
        <w:jc w:val="left"/>
        <w:rPr>
          <w:rFonts w:hint="eastAsia" w:ascii="仿宋" w:hAnsi="仿宋" w:eastAsia="仿宋" w:cs="仿宋"/>
          <w:sz w:val="32"/>
          <w:szCs w:val="32"/>
          <w:u w:val="single"/>
        </w:rPr>
      </w:pPr>
      <w:r>
        <w:rPr>
          <w:rFonts w:hint="eastAsia" w:ascii="楷体" w:hAnsi="楷体" w:eastAsia="楷体" w:cs="楷体"/>
          <w:sz w:val="32"/>
          <w:szCs w:val="32"/>
          <w:shd w:val="clear" w:color="auto" w:fill="FFFFFF"/>
        </w:rPr>
        <w:t>（一）资格复核时间</w:t>
      </w:r>
      <w:r>
        <w:rPr>
          <w:rFonts w:hint="eastAsia" w:ascii="仿宋" w:hAnsi="仿宋" w:eastAsia="仿宋" w:cs="仿宋"/>
          <w:sz w:val="32"/>
          <w:szCs w:val="32"/>
          <w:shd w:val="clear" w:color="auto" w:fill="FFFFFF"/>
        </w:rPr>
        <w:t>。</w:t>
      </w:r>
      <w:r>
        <w:rPr>
          <w:rFonts w:hint="eastAsia" w:ascii="仿宋" w:hAnsi="仿宋" w:eastAsia="仿宋" w:cs="仿宋"/>
          <w:sz w:val="32"/>
          <w:szCs w:val="32"/>
        </w:rPr>
        <w:t>取得预售许可证后</w:t>
      </w:r>
      <w:r>
        <w:rPr>
          <w:rFonts w:hint="eastAsia" w:ascii="仿宋" w:hAnsi="仿宋" w:eastAsia="仿宋" w:cs="仿宋"/>
          <w:sz w:val="32"/>
          <w:szCs w:val="32"/>
          <w:u w:val="single"/>
        </w:rPr>
        <w:t>第4个工作日至复核完毕。</w:t>
      </w:r>
    </w:p>
    <w:p>
      <w:pPr>
        <w:spacing w:line="550" w:lineRule="exact"/>
        <w:ind w:firstLine="640" w:firstLineChars="200"/>
        <w:jc w:val="left"/>
        <w:rPr>
          <w:rFonts w:hint="eastAsia" w:ascii="仿宋" w:hAnsi="仿宋" w:eastAsia="仿宋" w:cs="仿宋"/>
          <w:color w:val="000000"/>
          <w:sz w:val="32"/>
          <w:szCs w:val="32"/>
        </w:rPr>
      </w:pPr>
      <w:r>
        <w:rPr>
          <w:rFonts w:hint="eastAsia" w:ascii="楷体" w:hAnsi="楷体" w:eastAsia="楷体" w:cs="楷体"/>
          <w:sz w:val="32"/>
          <w:szCs w:val="32"/>
        </w:rPr>
        <w:t>（</w:t>
      </w:r>
      <w:r>
        <w:rPr>
          <w:rFonts w:hint="eastAsia" w:ascii="楷体" w:hAnsi="楷体" w:eastAsia="楷体" w:cs="楷体"/>
          <w:sz w:val="32"/>
          <w:szCs w:val="32"/>
          <w:shd w:val="clear" w:color="auto" w:fill="FFFFFF"/>
        </w:rPr>
        <w:t>二）复核部门。</w:t>
      </w:r>
      <w:r>
        <w:rPr>
          <w:rFonts w:hint="eastAsia" w:ascii="仿宋" w:hAnsi="仿宋" w:eastAsia="仿宋" w:cs="仿宋"/>
          <w:color w:val="000000"/>
          <w:sz w:val="32"/>
          <w:szCs w:val="32"/>
        </w:rPr>
        <w:t>我公司对登记购房人提交资料的完整性予以初核，资料齐备并完整的报温江区房管局复核。</w:t>
      </w:r>
    </w:p>
    <w:p>
      <w:pPr>
        <w:spacing w:line="550" w:lineRule="exact"/>
        <w:ind w:firstLine="640" w:firstLineChars="200"/>
        <w:jc w:val="left"/>
        <w:rPr>
          <w:rFonts w:hint="eastAsia" w:ascii="黑体" w:hAnsi="黑体" w:eastAsia="黑体" w:cs="黑体"/>
          <w:bCs/>
          <w:color w:val="000000"/>
          <w:sz w:val="32"/>
          <w:szCs w:val="32"/>
        </w:rPr>
      </w:pPr>
      <w:r>
        <w:rPr>
          <w:rFonts w:hint="eastAsia" w:ascii="黑体" w:hAnsi="黑体" w:eastAsia="黑体" w:cs="黑体"/>
          <w:bCs/>
          <w:color w:val="000000"/>
          <w:sz w:val="32"/>
          <w:szCs w:val="32"/>
        </w:rPr>
        <w:t>八、证据保全公证</w:t>
      </w:r>
    </w:p>
    <w:p>
      <w:pPr>
        <w:spacing w:line="55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购房资格复核工作完成后，我公司及时将</w:t>
      </w:r>
      <w:r>
        <w:rPr>
          <w:rFonts w:hint="eastAsia" w:ascii="仿宋" w:hAnsi="仿宋" w:eastAsia="仿宋" w:cs="仿宋"/>
          <w:sz w:val="32"/>
          <w:szCs w:val="32"/>
        </w:rPr>
        <w:t>《棚改货币化安置住户登记购房名册》和《普通登记购房人名册》报公证机构</w:t>
      </w:r>
      <w:r>
        <w:rPr>
          <w:rFonts w:hint="eastAsia" w:ascii="仿宋" w:hAnsi="仿宋" w:eastAsia="仿宋" w:cs="仿宋"/>
          <w:sz w:val="32"/>
          <w:szCs w:val="32"/>
          <w:shd w:val="clear" w:color="auto" w:fill="FFFFFF"/>
        </w:rPr>
        <w:t>予以公证证据保全</w:t>
      </w:r>
      <w:r>
        <w:rPr>
          <w:rFonts w:hint="eastAsia" w:ascii="仿宋" w:hAnsi="仿宋" w:eastAsia="仿宋" w:cs="仿宋"/>
          <w:sz w:val="32"/>
          <w:szCs w:val="32"/>
        </w:rPr>
        <w:t>，包括汇总的初始名册和复核后的名册</w:t>
      </w:r>
      <w:r>
        <w:rPr>
          <w:rFonts w:hint="eastAsia" w:ascii="仿宋" w:hAnsi="仿宋" w:eastAsia="仿宋" w:cs="仿宋"/>
          <w:sz w:val="32"/>
          <w:szCs w:val="32"/>
          <w:shd w:val="clear" w:color="auto" w:fill="FFFFFF"/>
        </w:rPr>
        <w:t>。</w:t>
      </w:r>
    </w:p>
    <w:p>
      <w:pPr>
        <w:spacing w:line="550" w:lineRule="exact"/>
        <w:ind w:firstLine="640" w:firstLineChars="200"/>
        <w:rPr>
          <w:rFonts w:hint="eastAsia" w:ascii="黑体" w:hAnsi="黑体" w:eastAsia="黑体" w:cs="黑体"/>
          <w:bCs/>
          <w:color w:val="000000"/>
          <w:sz w:val="32"/>
          <w:szCs w:val="32"/>
        </w:rPr>
      </w:pPr>
      <w:r>
        <w:rPr>
          <w:rFonts w:hint="eastAsia" w:ascii="黑体" w:hAnsi="黑体" w:eastAsia="黑体" w:cs="黑体"/>
          <w:bCs/>
          <w:color w:val="000000"/>
          <w:sz w:val="32"/>
          <w:szCs w:val="32"/>
        </w:rPr>
        <w:t>九、名册公示</w:t>
      </w:r>
    </w:p>
    <w:p>
      <w:pPr>
        <w:spacing w:line="55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（一）公示时间：</w:t>
      </w:r>
      <w:r>
        <w:rPr>
          <w:rFonts w:hint="eastAsia" w:ascii="仿宋" w:hAnsi="仿宋" w:eastAsia="仿宋" w:cs="仿宋"/>
          <w:sz w:val="32"/>
          <w:szCs w:val="32"/>
        </w:rPr>
        <w:t>公证摇号前3日至选房结束。</w:t>
      </w:r>
    </w:p>
    <w:p>
      <w:pPr>
        <w:spacing w:line="550" w:lineRule="exact"/>
        <w:ind w:firstLine="627" w:firstLineChars="196"/>
        <w:rPr>
          <w:rFonts w:hint="eastAsia" w:ascii="仿宋" w:hAnsi="仿宋" w:eastAsia="仿宋" w:cs="仿宋"/>
          <w:sz w:val="32"/>
          <w:szCs w:val="32"/>
          <w:u w:val="single"/>
        </w:rPr>
      </w:pPr>
      <w:r>
        <w:rPr>
          <w:rFonts w:hint="eastAsia" w:ascii="仿宋" w:hAnsi="仿宋" w:eastAsia="仿宋" w:cs="仿宋"/>
          <w:color w:val="000000"/>
          <w:sz w:val="32"/>
          <w:szCs w:val="32"/>
        </w:rPr>
        <w:t>（二）公示地点：</w:t>
      </w:r>
      <w:r>
        <w:rPr>
          <w:rFonts w:hint="eastAsia" w:ascii="仿宋" w:hAnsi="仿宋" w:eastAsia="仿宋" w:cs="仿宋"/>
          <w:color w:val="000000"/>
          <w:sz w:val="32"/>
          <w:szCs w:val="32"/>
          <w:u w:val="single"/>
          <w:lang w:eastAsia="zh-CN"/>
        </w:rPr>
        <w:t>嘉源红郡</w:t>
      </w:r>
      <w:r>
        <w:rPr>
          <w:rFonts w:hint="eastAsia" w:ascii="仿宋" w:hAnsi="仿宋" w:eastAsia="仿宋" w:cs="仿宋"/>
          <w:sz w:val="32"/>
          <w:szCs w:val="32"/>
        </w:rPr>
        <w:t>销售中心现场、</w:t>
      </w:r>
      <w:r>
        <w:rPr>
          <w:rFonts w:hint="eastAsia" w:ascii="仿宋" w:hAnsi="仿宋" w:eastAsia="仿宋" w:cs="仿宋"/>
          <w:sz w:val="32"/>
          <w:szCs w:val="32"/>
          <w:u w:val="single"/>
        </w:rPr>
        <w:t>微信公众号（</w:t>
      </w:r>
      <w:r>
        <w:rPr>
          <w:rFonts w:hint="eastAsia" w:ascii="仿宋" w:hAnsi="仿宋" w:eastAsia="仿宋" w:cs="仿宋"/>
          <w:sz w:val="32"/>
          <w:szCs w:val="32"/>
          <w:u w:val="single"/>
          <w:lang w:val="en-US" w:eastAsia="zh-CN"/>
        </w:rPr>
        <w:t>JYCYND</w:t>
      </w:r>
      <w:r>
        <w:rPr>
          <w:rFonts w:hint="eastAsia" w:ascii="仿宋" w:hAnsi="仿宋" w:eastAsia="仿宋" w:cs="仿宋"/>
          <w:sz w:val="32"/>
          <w:szCs w:val="32"/>
          <w:u w:val="single"/>
        </w:rPr>
        <w:t>）。</w:t>
      </w:r>
    </w:p>
    <w:p>
      <w:pPr>
        <w:spacing w:line="550" w:lineRule="exact"/>
        <w:ind w:firstLine="627" w:firstLineChars="196"/>
        <w:rPr>
          <w:rFonts w:hint="eastAsia" w:ascii="仿宋" w:hAnsi="仿宋" w:eastAsia="仿宋" w:cs="仿宋"/>
          <w:color w:val="000000"/>
          <w:sz w:val="32"/>
          <w:szCs w:val="32"/>
        </w:rPr>
      </w:pPr>
      <w:r>
        <w:rPr>
          <w:rFonts w:hint="eastAsia" w:ascii="仿宋" w:hAnsi="仿宋" w:eastAsia="仿宋" w:cs="仿宋"/>
          <w:color w:val="000000"/>
          <w:sz w:val="32"/>
          <w:szCs w:val="32"/>
        </w:rPr>
        <w:t>（三）公示内容：</w:t>
      </w:r>
      <w:r>
        <w:rPr>
          <w:rFonts w:hint="eastAsia" w:ascii="仿宋" w:hAnsi="仿宋" w:eastAsia="仿宋" w:cs="仿宋"/>
          <w:sz w:val="32"/>
          <w:szCs w:val="32"/>
        </w:rPr>
        <w:t>《棚改货币化安置住户登记购房名册》和《普通登记购房人名册》，包括汇总的初始名册和</w:t>
      </w:r>
      <w:r>
        <w:rPr>
          <w:rFonts w:hint="eastAsia" w:ascii="仿宋" w:hAnsi="仿宋" w:eastAsia="仿宋" w:cs="仿宋"/>
          <w:sz w:val="32"/>
          <w:szCs w:val="32"/>
          <w:u w:val="single"/>
        </w:rPr>
        <w:t>复核</w:t>
      </w:r>
      <w:r>
        <w:rPr>
          <w:rFonts w:hint="eastAsia" w:ascii="仿宋" w:hAnsi="仿宋" w:eastAsia="仿宋" w:cs="仿宋"/>
          <w:sz w:val="32"/>
          <w:szCs w:val="32"/>
        </w:rPr>
        <w:t>后的名册(</w:t>
      </w:r>
      <w:r>
        <w:rPr>
          <w:rFonts w:hint="eastAsia" w:ascii="仿宋" w:hAnsi="仿宋" w:eastAsia="仿宋" w:cs="仿宋"/>
          <w:sz w:val="32"/>
          <w:szCs w:val="32"/>
          <w:shd w:val="clear" w:color="auto" w:fill="FFFFFF"/>
        </w:rPr>
        <w:t>将姓做隐藏处理</w:t>
      </w:r>
      <w:r>
        <w:rPr>
          <w:rFonts w:hint="eastAsia" w:ascii="仿宋" w:hAnsi="仿宋" w:eastAsia="仿宋" w:cs="仿宋"/>
          <w:color w:val="000000"/>
          <w:sz w:val="32"/>
          <w:szCs w:val="32"/>
        </w:rPr>
        <w:t>，</w:t>
      </w:r>
      <w:r>
        <w:rPr>
          <w:rFonts w:hint="eastAsia" w:ascii="仿宋" w:hAnsi="仿宋" w:eastAsia="仿宋" w:cs="仿宋"/>
          <w:sz w:val="32"/>
          <w:szCs w:val="32"/>
          <w:shd w:val="clear" w:color="auto" w:fill="FFFFFF"/>
        </w:rPr>
        <w:t>将身份证中出生年月日或其他证件后4位做隐藏处理)。</w:t>
      </w:r>
    </w:p>
    <w:p>
      <w:pPr>
        <w:spacing w:line="55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十、注意事项</w:t>
      </w:r>
    </w:p>
    <w:p>
      <w:pPr>
        <w:spacing w:line="550" w:lineRule="exact"/>
        <w:ind w:firstLine="640" w:firstLineChars="200"/>
        <w:jc w:val="left"/>
        <w:rPr>
          <w:rFonts w:hint="eastAsia" w:ascii="仿宋" w:hAnsi="仿宋" w:eastAsia="仿宋" w:cs="仿宋"/>
          <w:sz w:val="32"/>
          <w:szCs w:val="32"/>
        </w:rPr>
      </w:pPr>
      <w:r>
        <w:rPr>
          <w:rFonts w:hint="eastAsia" w:ascii="楷体" w:hAnsi="楷体" w:eastAsia="楷体" w:cs="楷体"/>
          <w:sz w:val="32"/>
          <w:szCs w:val="32"/>
        </w:rPr>
        <w:t>（一）请登记购房人真实填报登记信息。</w:t>
      </w:r>
      <w:r>
        <w:rPr>
          <w:rFonts w:hint="eastAsia" w:ascii="仿宋" w:hAnsi="仿宋" w:eastAsia="仿宋" w:cs="仿宋"/>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spacing w:line="550" w:lineRule="exact"/>
        <w:ind w:firstLine="660"/>
        <w:rPr>
          <w:rFonts w:hint="eastAsia" w:ascii="仿宋" w:hAnsi="仿宋" w:eastAsia="仿宋" w:cs="仿宋"/>
          <w:sz w:val="32"/>
          <w:szCs w:val="32"/>
        </w:rPr>
      </w:pPr>
      <w:r>
        <w:rPr>
          <w:rFonts w:hint="eastAsia" w:ascii="楷体" w:hAnsi="楷体" w:eastAsia="楷体" w:cs="楷体"/>
          <w:b w:val="0"/>
          <w:bCs w:val="0"/>
          <w:sz w:val="32"/>
          <w:szCs w:val="32"/>
        </w:rPr>
        <w:t>（二）请登记购房人认真填报登记信息。</w:t>
      </w:r>
      <w:r>
        <w:rPr>
          <w:rFonts w:hint="eastAsia" w:ascii="仿宋" w:hAnsi="仿宋" w:eastAsia="仿宋" w:cs="仿宋"/>
          <w:sz w:val="32"/>
          <w:szCs w:val="32"/>
          <w:shd w:val="clear" w:color="auto" w:fill="FFFFFF"/>
        </w:rPr>
        <w:t>请确保登记、摇号、选房、签约主体信息（姓名、身份证明等）一致。</w:t>
      </w:r>
      <w:r>
        <w:rPr>
          <w:rFonts w:hint="eastAsia" w:ascii="仿宋" w:hAnsi="仿宋" w:eastAsia="仿宋" w:cs="仿宋"/>
          <w:sz w:val="32"/>
          <w:szCs w:val="32"/>
        </w:rPr>
        <w:t>涉及共同购买的，登记购房人须按购房登记平台提示，完善登记购房人信息，共用一个购房登记号，凭此号共同参与公证摇号、选房、签约，中途不得变更或增减共有人。</w:t>
      </w:r>
    </w:p>
    <w:p>
      <w:pPr>
        <w:spacing w:line="550" w:lineRule="exact"/>
        <w:ind w:firstLine="640" w:firstLineChars="200"/>
        <w:jc w:val="left"/>
        <w:rPr>
          <w:rFonts w:hint="eastAsia" w:ascii="仿宋" w:hAnsi="仿宋" w:eastAsia="仿宋" w:cs="仿宋"/>
          <w:sz w:val="32"/>
          <w:szCs w:val="32"/>
        </w:rPr>
      </w:pPr>
      <w:r>
        <w:rPr>
          <w:rFonts w:hint="eastAsia" w:ascii="楷体" w:hAnsi="楷体" w:eastAsia="楷体" w:cs="楷体"/>
          <w:b w:val="0"/>
          <w:bCs w:val="0"/>
          <w:sz w:val="32"/>
          <w:szCs w:val="32"/>
        </w:rPr>
        <w:t>（三）举报电话。</w:t>
      </w:r>
      <w:r>
        <w:rPr>
          <w:rFonts w:hint="eastAsia" w:ascii="仿宋" w:hAnsi="仿宋" w:eastAsia="仿宋" w:cs="仿宋"/>
          <w:sz w:val="32"/>
          <w:szCs w:val="32"/>
        </w:rPr>
        <w:t>如果您发现我公司或委托的中介机构有下列行为的，请及时向</w:t>
      </w:r>
      <w:r>
        <w:rPr>
          <w:rFonts w:hint="eastAsia" w:ascii="仿宋" w:hAnsi="仿宋" w:eastAsia="仿宋" w:cs="仿宋"/>
          <w:sz w:val="32"/>
          <w:szCs w:val="32"/>
          <w:u w:val="single"/>
        </w:rPr>
        <w:t>我公司</w:t>
      </w:r>
      <w:r>
        <w:rPr>
          <w:rFonts w:hint="eastAsia" w:ascii="仿宋" w:hAnsi="仿宋" w:eastAsia="仿宋" w:cs="仿宋"/>
          <w:sz w:val="32"/>
          <w:szCs w:val="32"/>
          <w:u w:val="single"/>
          <w:lang w:eastAsia="zh-CN"/>
        </w:rPr>
        <w:t>市场销售监管</w:t>
      </w:r>
      <w:r>
        <w:rPr>
          <w:rFonts w:hint="eastAsia" w:ascii="仿宋" w:hAnsi="仿宋" w:eastAsia="仿宋" w:cs="仿宋"/>
          <w:sz w:val="32"/>
          <w:szCs w:val="32"/>
          <w:u w:val="single"/>
        </w:rPr>
        <w:t>部门</w:t>
      </w:r>
      <w:r>
        <w:rPr>
          <w:rFonts w:hint="eastAsia" w:ascii="仿宋" w:hAnsi="仿宋" w:eastAsia="仿宋" w:cs="仿宋"/>
          <w:sz w:val="32"/>
          <w:szCs w:val="32"/>
        </w:rPr>
        <w:t>或房产行政主管部门举报：</w:t>
      </w:r>
    </w:p>
    <w:p>
      <w:pPr>
        <w:spacing w:line="55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1.设置仅有利于房地产开发企业或中介机构内部、全款支付等部分购房人的登记条件；</w:t>
      </w:r>
    </w:p>
    <w:p>
      <w:pPr>
        <w:spacing w:line="55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2.设置捆绑销售、挂牌价外收费等不利于购房人的登记条件；</w:t>
      </w:r>
    </w:p>
    <w:p>
      <w:pPr>
        <w:spacing w:line="55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3.公司员工或委托机构员工强制或私自收取排号费，渠道费，诚意金或其他预订款性质费用；</w:t>
      </w:r>
    </w:p>
    <w:p>
      <w:pPr>
        <w:spacing w:line="550" w:lineRule="exact"/>
        <w:ind w:firstLine="640" w:firstLineChars="200"/>
        <w:jc w:val="left"/>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eastAsia="仿宋" w:cs="仿宋"/>
          <w:sz w:val="32"/>
          <w:szCs w:val="32"/>
          <w:shd w:val="clear" w:color="auto" w:fill="FFFFFF"/>
        </w:rPr>
        <w:t>提供或协助登记购房人出具虚假购房资格材料；</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5.要求登记购房人到指定的银行打印银行存单或账户交易明细；</w:t>
      </w:r>
    </w:p>
    <w:p>
      <w:pPr>
        <w:adjustRightInd w:val="0"/>
        <w:spacing w:line="55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6.要求登记购房人打印的银行存单或账户交易明细等高于意向房源首付款；</w:t>
      </w:r>
    </w:p>
    <w:p>
      <w:pPr>
        <w:spacing w:line="55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shd w:val="clear" w:color="auto" w:fill="FFFFFF"/>
        </w:rPr>
        <w:t>7.对符合登记条件的意向购房人不予登记；</w:t>
      </w:r>
    </w:p>
    <w:p>
      <w:pPr>
        <w:spacing w:line="55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8.其他违法违规行为。</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u w:val="none"/>
          <w:lang w:eastAsia="zh-CN"/>
        </w:rPr>
        <w:t>嘉源置业市场销售监管</w:t>
      </w:r>
      <w:r>
        <w:rPr>
          <w:rFonts w:hint="eastAsia" w:ascii="仿宋" w:hAnsi="仿宋" w:eastAsia="仿宋" w:cs="仿宋"/>
          <w:sz w:val="32"/>
          <w:szCs w:val="32"/>
          <w:u w:val="none"/>
        </w:rPr>
        <w:t>部门</w:t>
      </w:r>
      <w:r>
        <w:rPr>
          <w:rFonts w:hint="eastAsia" w:ascii="仿宋" w:hAnsi="仿宋" w:eastAsia="仿宋" w:cs="仿宋"/>
          <w:sz w:val="32"/>
          <w:szCs w:val="32"/>
        </w:rPr>
        <w:t>举报电话：028-</w:t>
      </w:r>
      <w:r>
        <w:rPr>
          <w:rFonts w:hint="eastAsia" w:ascii="仿宋" w:hAnsi="仿宋" w:eastAsia="仿宋" w:cs="仿宋"/>
          <w:sz w:val="32"/>
          <w:szCs w:val="32"/>
          <w:lang w:val="en-US" w:eastAsia="zh-CN"/>
        </w:rPr>
        <w:t>85449008</w:t>
      </w:r>
      <w:r>
        <w:rPr>
          <w:rFonts w:hint="eastAsia" w:ascii="仿宋" w:hAnsi="仿宋" w:eastAsia="仿宋" w:cs="仿宋"/>
          <w:sz w:val="32"/>
          <w:szCs w:val="32"/>
        </w:rPr>
        <w:t>。</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温江区</w:t>
      </w:r>
      <w:r>
        <w:rPr>
          <w:rFonts w:hint="eastAsia" w:ascii="仿宋" w:hAnsi="仿宋" w:eastAsia="仿宋" w:cs="仿宋"/>
          <w:sz w:val="32"/>
          <w:szCs w:val="32"/>
        </w:rPr>
        <w:t>房管局举报电话：028-82716728</w:t>
      </w:r>
      <w:r>
        <w:rPr>
          <w:rFonts w:hint="eastAsia" w:ascii="仿宋" w:hAnsi="仿宋" w:eastAsia="仿宋" w:cs="仿宋"/>
          <w:sz w:val="32"/>
          <w:szCs w:val="32"/>
          <w:lang w:val="en-US" w:eastAsia="zh-CN"/>
        </w:rPr>
        <w:t>、</w:t>
      </w:r>
      <w:r>
        <w:rPr>
          <w:rFonts w:hint="eastAsia" w:ascii="仿宋" w:hAnsi="仿宋" w:eastAsia="仿宋" w:cs="仿宋"/>
          <w:sz w:val="32"/>
          <w:szCs w:val="32"/>
        </w:rPr>
        <w:t>028-82724349</w:t>
      </w:r>
    </w:p>
    <w:p>
      <w:pPr>
        <w:spacing w:line="550" w:lineRule="exact"/>
        <w:rPr>
          <w:rFonts w:hint="eastAsia" w:ascii="仿宋" w:hAnsi="仿宋" w:eastAsia="仿宋" w:cs="仿宋"/>
          <w:sz w:val="32"/>
          <w:szCs w:val="32"/>
        </w:rPr>
      </w:pPr>
    </w:p>
    <w:p>
      <w:pPr>
        <w:spacing w:line="550" w:lineRule="exact"/>
        <w:ind w:firstLine="640" w:firstLineChars="200"/>
        <w:rPr>
          <w:rFonts w:hint="eastAsia" w:ascii="仿宋" w:hAnsi="仿宋" w:eastAsia="仿宋" w:cs="仿宋"/>
          <w:sz w:val="32"/>
          <w:szCs w:val="32"/>
        </w:rPr>
      </w:pPr>
    </w:p>
    <w:p>
      <w:pPr>
        <w:spacing w:line="560" w:lineRule="exact"/>
        <w:jc w:val="left"/>
        <w:rPr>
          <w:rFonts w:hint="eastAsia" w:ascii="仿宋" w:hAnsi="仿宋" w:eastAsia="仿宋" w:cs="仿宋"/>
          <w:b/>
          <w:bCs/>
          <w:color w:val="000000"/>
          <w:sz w:val="32"/>
          <w:szCs w:val="32"/>
          <w:shd w:val="clear" w:color="auto" w:fill="FFFFFF"/>
        </w:rPr>
      </w:pPr>
      <w:r>
        <w:rPr>
          <w:rFonts w:hint="eastAsia" w:ascii="仿宋" w:hAnsi="仿宋" w:eastAsia="仿宋" w:cs="仿宋"/>
          <w:sz w:val="32"/>
          <w:szCs w:val="32"/>
        </w:rPr>
        <w:t>附件：1.</w:t>
      </w:r>
      <w:r>
        <w:rPr>
          <w:rFonts w:hint="eastAsia" w:ascii="仿宋" w:hAnsi="仿宋" w:eastAsia="仿宋" w:cs="仿宋"/>
          <w:b/>
          <w:bCs/>
          <w:color w:val="000000"/>
          <w:sz w:val="32"/>
          <w:szCs w:val="32"/>
          <w:shd w:val="clear" w:color="auto" w:fill="FFFFFF"/>
        </w:rPr>
        <w:t xml:space="preserve"> </w:t>
      </w:r>
      <w:r>
        <w:rPr>
          <w:rFonts w:hint="eastAsia" w:ascii="仿宋" w:hAnsi="仿宋" w:eastAsia="仿宋" w:cs="仿宋"/>
          <w:sz w:val="32"/>
          <w:szCs w:val="32"/>
        </w:rPr>
        <w:t>资格核验现场布置图</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2. 稳定就业证明</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3. 部队证明</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4. 核验资料明细表</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 xml:space="preserve">5. </w:t>
      </w:r>
      <w:r>
        <w:rPr>
          <w:rFonts w:hint="eastAsia" w:ascii="仿宋" w:hAnsi="仿宋" w:eastAsia="仿宋" w:cs="仿宋"/>
          <w:sz w:val="32"/>
          <w:szCs w:val="32"/>
          <w:lang w:eastAsia="zh-CN"/>
        </w:rPr>
        <w:t>购房资格现场核验应急处置预案</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ind w:firstLine="5120" w:firstLineChars="1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成都嘉源置业有限公司</w:t>
      </w:r>
    </w:p>
    <w:p>
      <w:pPr>
        <w:ind w:firstLine="5440" w:firstLineChars="17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2018年1月8日</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附件1</w:t>
      </w:r>
    </w:p>
    <w:p>
      <w:pPr>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资格核验现场布置图</w:t>
      </w:r>
    </w:p>
    <w:p>
      <w:pPr>
        <w:ind w:firstLine="640" w:firstLineChars="200"/>
        <w:rPr>
          <w:rFonts w:hint="eastAsia" w:ascii="仿宋" w:hAnsi="仿宋" w:eastAsia="仿宋" w:cs="仿宋"/>
          <w:b/>
          <w:sz w:val="32"/>
          <w:szCs w:val="32"/>
        </w:rPr>
      </w:pPr>
      <w:r>
        <w:rPr>
          <w:rFonts w:hint="eastAsia" w:ascii="仿宋" w:hAnsi="仿宋" w:eastAsia="仿宋" w:cs="仿宋"/>
          <w:sz w:val="32"/>
          <w:szCs w:val="32"/>
          <w:lang w:eastAsia="zh-CN"/>
        </w:rPr>
        <w:drawing>
          <wp:inline distT="0" distB="0" distL="114300" distR="114300">
            <wp:extent cx="4449445" cy="6294755"/>
            <wp:effectExtent l="0" t="0" r="8255" b="10795"/>
            <wp:docPr id="1" name="图片 1" descr="微信图片_2018010814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80108142105"/>
                    <pic:cNvPicPr>
                      <a:picLocks noChangeAspect="1"/>
                    </pic:cNvPicPr>
                  </pic:nvPicPr>
                  <pic:blipFill>
                    <a:blip r:embed="rId4"/>
                    <a:stretch>
                      <a:fillRect/>
                    </a:stretch>
                  </pic:blipFill>
                  <pic:spPr>
                    <a:xfrm>
                      <a:off x="0" y="0"/>
                      <a:ext cx="4449445" cy="6294755"/>
                    </a:xfrm>
                    <a:prstGeom prst="rect">
                      <a:avLst/>
                    </a:prstGeom>
                    <a:noFill/>
                    <a:ln w="9525">
                      <a:noFill/>
                    </a:ln>
                  </pic:spPr>
                </pic:pic>
              </a:graphicData>
            </a:graphic>
          </wp:inline>
        </w:drawing>
      </w:r>
    </w:p>
    <w:p>
      <w:pPr>
        <w:rPr>
          <w:rFonts w:hint="eastAsia" w:ascii="仿宋" w:hAnsi="仿宋" w:eastAsia="仿宋" w:cs="仿宋"/>
          <w:b/>
          <w:sz w:val="32"/>
          <w:szCs w:val="32"/>
        </w:rPr>
      </w:pPr>
    </w:p>
    <w:p>
      <w:pPr>
        <w:ind w:firstLine="643" w:firstLineChars="200"/>
        <w:rPr>
          <w:rFonts w:hint="eastAsia" w:ascii="仿宋" w:hAnsi="仿宋" w:eastAsia="仿宋" w:cs="仿宋"/>
          <w:b/>
          <w:sz w:val="32"/>
          <w:szCs w:val="32"/>
        </w:rPr>
      </w:pPr>
    </w:p>
    <w:p>
      <w:pPr>
        <w:rPr>
          <w:rFonts w:hint="eastAsia"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t>附件2</w:t>
      </w:r>
    </w:p>
    <w:p>
      <w:pPr>
        <w:spacing w:line="360" w:lineRule="auto"/>
        <w:ind w:firstLine="528" w:firstLineChars="120"/>
        <w:jc w:val="center"/>
        <w:rPr>
          <w:rFonts w:hint="eastAsia" w:ascii="黑体" w:hAnsi="黑体" w:eastAsia="黑体" w:cs="黑体"/>
          <w:sz w:val="44"/>
          <w:szCs w:val="44"/>
        </w:rPr>
      </w:pPr>
      <w:r>
        <w:rPr>
          <w:rFonts w:hint="eastAsia" w:ascii="黑体" w:hAnsi="黑体" w:eastAsia="黑体" w:cs="黑体"/>
          <w:sz w:val="44"/>
          <w:szCs w:val="44"/>
        </w:rPr>
        <w:t>稳定就业证明</w:t>
      </w:r>
    </w:p>
    <w:p>
      <w:pPr>
        <w:spacing w:line="360" w:lineRule="auto"/>
        <w:ind w:firstLine="360" w:firstLineChars="120"/>
        <w:rPr>
          <w:rFonts w:hint="eastAsia" w:ascii="仿宋" w:hAnsi="仿宋" w:eastAsia="仿宋" w:cs="仿宋"/>
          <w:sz w:val="30"/>
          <w:szCs w:val="30"/>
        </w:rPr>
      </w:pPr>
    </w:p>
    <w:p>
      <w:pPr>
        <w:spacing w:line="520" w:lineRule="exact"/>
        <w:rPr>
          <w:rFonts w:hint="eastAsia" w:ascii="仿宋" w:hAnsi="仿宋" w:eastAsia="仿宋" w:cs="仿宋"/>
          <w:sz w:val="32"/>
          <w:szCs w:val="32"/>
        </w:rPr>
      </w:pPr>
      <w:r>
        <w:rPr>
          <w:rFonts w:hint="eastAsia" w:ascii="仿宋" w:hAnsi="仿宋" w:eastAsia="仿宋" w:cs="仿宋"/>
          <w:sz w:val="32"/>
          <w:szCs w:val="32"/>
        </w:rPr>
        <w:t>成都市温江区房产管理局：</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兹有XXX（姓名），身份证号码：XXXXXXXXXXXXXXXXXXX，系我单位工作人员，该职工自XXXX年X月X日起至今在我单位位于成都市XX区XX路/街XX号（办公地址）的办公地点连续稳定工作。如证明失实，本单位愿意承担由此带来的一切法律后果。</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特此证明。</w:t>
      </w:r>
    </w:p>
    <w:p>
      <w:pPr>
        <w:spacing w:line="520" w:lineRule="exact"/>
        <w:ind w:firstLine="640" w:firstLineChars="200"/>
        <w:rPr>
          <w:rFonts w:hint="eastAsia" w:ascii="仿宋" w:hAnsi="仿宋" w:eastAsia="仿宋" w:cs="仿宋"/>
          <w:sz w:val="32"/>
          <w:szCs w:val="32"/>
        </w:rPr>
      </w:pP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本公司营业执照信息</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名称：</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住所：</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统一社会信用代码：</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（此证明仅用于该工作人员购买住房进行限购审查）</w:t>
      </w:r>
    </w:p>
    <w:p>
      <w:pPr>
        <w:spacing w:line="520" w:lineRule="exact"/>
        <w:ind w:firstLine="384" w:firstLineChars="120"/>
        <w:rPr>
          <w:rFonts w:hint="eastAsia" w:ascii="仿宋" w:hAnsi="仿宋" w:eastAsia="仿宋" w:cs="仿宋"/>
          <w:sz w:val="32"/>
          <w:szCs w:val="32"/>
        </w:rPr>
      </w:pPr>
    </w:p>
    <w:p>
      <w:pPr>
        <w:spacing w:line="520" w:lineRule="exact"/>
        <w:ind w:firstLine="384" w:firstLineChars="120"/>
        <w:rPr>
          <w:rFonts w:hint="eastAsia" w:ascii="仿宋" w:hAnsi="仿宋" w:eastAsia="仿宋" w:cs="仿宋"/>
          <w:sz w:val="32"/>
          <w:szCs w:val="32"/>
        </w:rPr>
      </w:pPr>
    </w:p>
    <w:p>
      <w:pPr>
        <w:spacing w:line="520" w:lineRule="exact"/>
        <w:ind w:firstLine="384" w:firstLineChars="120"/>
        <w:rPr>
          <w:rFonts w:hint="eastAsia" w:ascii="仿宋" w:hAnsi="仿宋" w:eastAsia="仿宋" w:cs="仿宋"/>
          <w:sz w:val="32"/>
          <w:szCs w:val="32"/>
        </w:rPr>
      </w:pPr>
    </w:p>
    <w:p>
      <w:pPr>
        <w:spacing w:line="520" w:lineRule="exact"/>
        <w:ind w:firstLine="384" w:firstLineChars="120"/>
        <w:jc w:val="right"/>
        <w:rPr>
          <w:rFonts w:hint="eastAsia" w:ascii="仿宋" w:hAnsi="仿宋" w:eastAsia="仿宋" w:cs="仿宋"/>
          <w:sz w:val="32"/>
          <w:szCs w:val="32"/>
        </w:rPr>
      </w:pPr>
      <w:r>
        <w:rPr>
          <w:rFonts w:hint="eastAsia" w:ascii="仿宋" w:hAnsi="仿宋" w:eastAsia="仿宋" w:cs="仿宋"/>
          <w:sz w:val="32"/>
          <w:szCs w:val="32"/>
        </w:rPr>
        <w:t>XX单位（公章）</w:t>
      </w:r>
    </w:p>
    <w:p>
      <w:pPr>
        <w:spacing w:line="520" w:lineRule="exact"/>
        <w:ind w:firstLine="384" w:firstLineChars="120"/>
        <w:jc w:val="right"/>
        <w:rPr>
          <w:rFonts w:hint="eastAsia" w:ascii="仿宋" w:hAnsi="仿宋" w:eastAsia="仿宋" w:cs="仿宋"/>
          <w:sz w:val="32"/>
          <w:szCs w:val="32"/>
        </w:rPr>
      </w:pPr>
      <w:r>
        <w:rPr>
          <w:rFonts w:hint="eastAsia" w:ascii="仿宋" w:hAnsi="仿宋" w:eastAsia="仿宋" w:cs="仿宋"/>
          <w:sz w:val="32"/>
          <w:szCs w:val="32"/>
        </w:rPr>
        <w:t>XXXX年X月X日</w:t>
      </w:r>
    </w:p>
    <w:p>
      <w:pPr>
        <w:ind w:firstLine="640" w:firstLineChars="200"/>
        <w:rPr>
          <w:rFonts w:hint="eastAsia" w:ascii="仿宋" w:hAnsi="仿宋" w:eastAsia="仿宋" w:cs="仿宋"/>
          <w:sz w:val="32"/>
        </w:rPr>
      </w:pP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t>附件3</w:t>
      </w:r>
    </w:p>
    <w:p>
      <w:pPr>
        <w:jc w:val="center"/>
        <w:rPr>
          <w:rFonts w:hint="eastAsia" w:ascii="黑体" w:hAnsi="黑体" w:eastAsia="黑体" w:cs="黑体"/>
          <w:sz w:val="44"/>
          <w:szCs w:val="44"/>
        </w:rPr>
      </w:pPr>
      <w:r>
        <w:rPr>
          <w:rFonts w:hint="eastAsia" w:ascii="黑体" w:hAnsi="黑体" w:eastAsia="黑体" w:cs="黑体"/>
          <w:sz w:val="44"/>
          <w:szCs w:val="44"/>
        </w:rPr>
        <w:t>部 队 证 明</w:t>
      </w:r>
    </w:p>
    <w:p>
      <w:pPr>
        <w:rPr>
          <w:rFonts w:hint="eastAsia" w:ascii="仿宋" w:hAnsi="仿宋" w:eastAsia="仿宋" w:cs="仿宋"/>
          <w:sz w:val="44"/>
          <w:szCs w:val="44"/>
        </w:rPr>
      </w:pP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兹有我部军官**同志，军官证编号为：******，身份证号码*********，部队驻地为*******地点。</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如证明失实，本单位愿意承担由此带来的一切法律后果</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特此证明</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（该证明仅限购房使用）</w:t>
      </w:r>
    </w:p>
    <w:p>
      <w:pPr>
        <w:spacing w:line="560" w:lineRule="exact"/>
        <w:rPr>
          <w:rFonts w:hint="eastAsia" w:ascii="仿宋" w:hAnsi="仿宋" w:eastAsia="仿宋" w:cs="仿宋"/>
          <w:sz w:val="32"/>
          <w:szCs w:val="32"/>
        </w:rPr>
      </w:pP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单位名称：</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单位级别：</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单位地址：</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单位电话：</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经办人：</w:t>
      </w:r>
    </w:p>
    <w:p>
      <w:pPr>
        <w:spacing w:line="560" w:lineRule="exact"/>
        <w:rPr>
          <w:rFonts w:hint="eastAsia" w:ascii="仿宋" w:hAnsi="仿宋" w:eastAsia="仿宋" w:cs="仿宋"/>
          <w:sz w:val="32"/>
          <w:szCs w:val="32"/>
        </w:rPr>
      </w:pPr>
    </w:p>
    <w:p>
      <w:pPr>
        <w:spacing w:line="560" w:lineRule="exact"/>
        <w:rPr>
          <w:rFonts w:hint="eastAsia" w:ascii="仿宋" w:hAnsi="仿宋" w:eastAsia="仿宋" w:cs="仿宋"/>
          <w:sz w:val="32"/>
          <w:szCs w:val="32"/>
        </w:rPr>
      </w:pPr>
    </w:p>
    <w:p>
      <w:pPr>
        <w:spacing w:line="560" w:lineRule="exact"/>
        <w:ind w:left="1920" w:hanging="1920" w:hangingChars="600"/>
        <w:rPr>
          <w:rFonts w:hint="eastAsia" w:ascii="仿宋" w:hAnsi="仿宋" w:eastAsia="仿宋" w:cs="仿宋"/>
          <w:sz w:val="32"/>
          <w:szCs w:val="32"/>
        </w:rPr>
      </w:pPr>
      <w:r>
        <w:rPr>
          <w:rFonts w:hint="eastAsia" w:ascii="仿宋" w:hAnsi="仿宋" w:eastAsia="仿宋" w:cs="仿宋"/>
          <w:sz w:val="32"/>
          <w:szCs w:val="32"/>
        </w:rPr>
        <w:t xml:space="preserve">                            **部队（团级以上的部队）</w:t>
      </w:r>
    </w:p>
    <w:p>
      <w:pPr>
        <w:spacing w:line="560" w:lineRule="exact"/>
        <w:ind w:left="2646" w:leftChars="1260" w:firstLine="2720" w:firstLineChars="850"/>
        <w:rPr>
          <w:rFonts w:hint="eastAsia" w:ascii="仿宋" w:hAnsi="仿宋" w:eastAsia="仿宋" w:cs="仿宋"/>
          <w:sz w:val="32"/>
          <w:szCs w:val="32"/>
        </w:rPr>
      </w:pPr>
      <w:r>
        <w:rPr>
          <w:rFonts w:hint="eastAsia" w:ascii="仿宋" w:hAnsi="仿宋" w:eastAsia="仿宋" w:cs="仿宋"/>
          <w:sz w:val="32"/>
          <w:szCs w:val="32"/>
        </w:rPr>
        <w:t>盖  章</w:t>
      </w:r>
    </w:p>
    <w:p>
      <w:pPr>
        <w:spacing w:line="560" w:lineRule="exact"/>
        <w:ind w:firstLine="384" w:firstLineChars="120"/>
        <w:jc w:val="right"/>
        <w:rPr>
          <w:rFonts w:hint="eastAsia" w:ascii="仿宋" w:hAnsi="仿宋" w:eastAsia="仿宋" w:cs="仿宋"/>
          <w:sz w:val="32"/>
          <w:szCs w:val="32"/>
        </w:rPr>
      </w:pPr>
    </w:p>
    <w:p>
      <w:pPr>
        <w:spacing w:line="360" w:lineRule="auto"/>
        <w:ind w:firstLine="360" w:firstLineChars="120"/>
        <w:jc w:val="right"/>
        <w:rPr>
          <w:rFonts w:hint="eastAsia" w:ascii="仿宋" w:hAnsi="仿宋" w:eastAsia="仿宋" w:cs="仿宋"/>
          <w:sz w:val="30"/>
          <w:szCs w:val="30"/>
        </w:rPr>
      </w:pPr>
    </w:p>
    <w:p>
      <w:pPr>
        <w:spacing w:line="360" w:lineRule="auto"/>
        <w:ind w:right="150" w:firstLine="360" w:firstLineChars="120"/>
        <w:jc w:val="right"/>
        <w:rPr>
          <w:rFonts w:hint="eastAsia" w:ascii="仿宋" w:hAnsi="仿宋" w:eastAsia="仿宋" w:cs="仿宋"/>
          <w:sz w:val="30"/>
          <w:szCs w:val="30"/>
        </w:rPr>
      </w:pPr>
    </w:p>
    <w:p>
      <w:pPr>
        <w:widowControl/>
        <w:jc w:val="left"/>
        <w:rPr>
          <w:rFonts w:hint="eastAsia" w:ascii="仿宋" w:hAnsi="仿宋" w:eastAsia="仿宋" w:cs="仿宋"/>
          <w:sz w:val="32"/>
          <w:szCs w:val="32"/>
        </w:rPr>
      </w:pPr>
    </w:p>
    <w:p>
      <w:pPr>
        <w:widowControl/>
        <w:jc w:val="left"/>
        <w:rPr>
          <w:rFonts w:hint="eastAsia" w:ascii="仿宋" w:hAnsi="仿宋" w:eastAsia="仿宋" w:cs="仿宋"/>
          <w:sz w:val="32"/>
          <w:szCs w:val="32"/>
        </w:rPr>
      </w:pPr>
    </w:p>
    <w:p>
      <w:pPr>
        <w:widowControl/>
        <w:jc w:val="left"/>
        <w:rPr>
          <w:rFonts w:hint="eastAsia" w:ascii="仿宋" w:hAnsi="仿宋" w:eastAsia="仿宋" w:cs="仿宋"/>
          <w:sz w:val="32"/>
          <w:szCs w:val="32"/>
        </w:rPr>
      </w:pP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附件4</w:t>
      </w:r>
    </w:p>
    <w:p>
      <w:pPr>
        <w:spacing w:line="360" w:lineRule="auto"/>
        <w:jc w:val="center"/>
        <w:rPr>
          <w:rFonts w:hint="eastAsia" w:ascii="黑体" w:hAnsi="黑体" w:eastAsia="黑体" w:cs="黑体"/>
          <w:sz w:val="44"/>
          <w:szCs w:val="44"/>
        </w:rPr>
      </w:pPr>
      <w:r>
        <w:rPr>
          <w:rFonts w:hint="eastAsia" w:ascii="黑体" w:hAnsi="黑体" w:eastAsia="黑体" w:cs="黑体"/>
          <w:sz w:val="44"/>
          <w:szCs w:val="44"/>
        </w:rPr>
        <w:t>核验资料明细表</w:t>
      </w:r>
    </w:p>
    <w:tbl>
      <w:tblPr>
        <w:tblStyle w:val="9"/>
        <w:tblW w:w="8886" w:type="dxa"/>
        <w:tblInd w:w="93" w:type="dxa"/>
        <w:tblLayout w:type="fixed"/>
        <w:tblCellMar>
          <w:top w:w="15" w:type="dxa"/>
          <w:left w:w="15" w:type="dxa"/>
          <w:bottom w:w="15" w:type="dxa"/>
          <w:right w:w="15" w:type="dxa"/>
        </w:tblCellMar>
      </w:tblPr>
      <w:tblGrid>
        <w:gridCol w:w="886"/>
        <w:gridCol w:w="1176"/>
        <w:gridCol w:w="2090"/>
        <w:gridCol w:w="4734"/>
      </w:tblGrid>
      <w:tr>
        <w:tblPrEx>
          <w:tblLayout w:type="fixed"/>
          <w:tblCellMar>
            <w:top w:w="15" w:type="dxa"/>
            <w:left w:w="15" w:type="dxa"/>
            <w:bottom w:w="15" w:type="dxa"/>
            <w:right w:w="15" w:type="dxa"/>
          </w:tblCellMar>
        </w:tblPrEx>
        <w:trPr>
          <w:trHeight w:val="330" w:hRule="atLeast"/>
        </w:trPr>
        <w:tc>
          <w:tcPr>
            <w:tcW w:w="2062" w:type="dxa"/>
            <w:gridSpan w:val="2"/>
            <w:tcBorders>
              <w:top w:val="single" w:color="000000" w:sz="8" w:space="0"/>
              <w:left w:val="single" w:color="000000" w:sz="12" w:space="0"/>
              <w:bottom w:val="single" w:color="auto" w:sz="8" w:space="0"/>
              <w:right w:val="single" w:color="000000" w:sz="8" w:space="0"/>
            </w:tcBorders>
            <w:vAlign w:val="center"/>
          </w:tcPr>
          <w:p>
            <w:pPr>
              <w:widowControl/>
              <w:spacing w:line="560" w:lineRule="atLeast"/>
              <w:jc w:val="center"/>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客户类型</w:t>
            </w:r>
          </w:p>
        </w:tc>
        <w:tc>
          <w:tcPr>
            <w:tcW w:w="2090" w:type="dxa"/>
            <w:tcBorders>
              <w:top w:val="single" w:color="000000" w:sz="8" w:space="0"/>
              <w:left w:val="nil"/>
              <w:bottom w:val="single" w:color="auto" w:sz="8" w:space="0"/>
              <w:right w:val="single" w:color="000000" w:sz="8" w:space="0"/>
            </w:tcBorders>
            <w:vAlign w:val="center"/>
          </w:tcPr>
          <w:p>
            <w:pPr>
              <w:widowControl/>
              <w:spacing w:line="560" w:lineRule="atLeast"/>
              <w:jc w:val="center"/>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需提交资料</w:t>
            </w:r>
          </w:p>
        </w:tc>
        <w:tc>
          <w:tcPr>
            <w:tcW w:w="4734" w:type="dxa"/>
            <w:tcBorders>
              <w:top w:val="single" w:color="000000" w:sz="8" w:space="0"/>
              <w:left w:val="nil"/>
              <w:bottom w:val="single" w:color="auto" w:sz="8" w:space="0"/>
              <w:right w:val="single" w:color="000000" w:sz="12" w:space="0"/>
            </w:tcBorders>
            <w:vAlign w:val="center"/>
          </w:tcPr>
          <w:p>
            <w:pPr>
              <w:widowControl/>
              <w:spacing w:line="560" w:lineRule="atLeast"/>
              <w:jc w:val="center"/>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备注</w:t>
            </w:r>
          </w:p>
        </w:tc>
      </w:tr>
      <w:tr>
        <w:tblPrEx>
          <w:tblLayout w:type="fixed"/>
          <w:tblCellMar>
            <w:top w:w="15" w:type="dxa"/>
            <w:left w:w="15" w:type="dxa"/>
            <w:bottom w:w="15" w:type="dxa"/>
            <w:right w:w="15" w:type="dxa"/>
          </w:tblCellMar>
        </w:tblPrEx>
        <w:trPr>
          <w:trHeight w:val="90" w:hRule="atLeast"/>
        </w:trPr>
        <w:tc>
          <w:tcPr>
            <w:tcW w:w="2062" w:type="dxa"/>
            <w:gridSpan w:val="2"/>
            <w:vMerge w:val="restart"/>
            <w:tcBorders>
              <w:top w:val="nil"/>
              <w:left w:val="single" w:color="auto" w:sz="8" w:space="0"/>
              <w:bottom w:val="single" w:color="auto" w:sz="8" w:space="0"/>
              <w:right w:val="single" w:color="auto" w:sz="8" w:space="0"/>
            </w:tcBorders>
            <w:vAlign w:val="center"/>
          </w:tcPr>
          <w:p>
            <w:pPr>
              <w:widowControl/>
              <w:spacing w:line="9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所有客户</w:t>
            </w:r>
          </w:p>
        </w:tc>
        <w:tc>
          <w:tcPr>
            <w:tcW w:w="2090" w:type="dxa"/>
            <w:tcBorders>
              <w:top w:val="nil"/>
              <w:left w:val="nil"/>
              <w:bottom w:val="single" w:color="auto" w:sz="8" w:space="0"/>
              <w:right w:val="single" w:color="auto" w:sz="8" w:space="0"/>
            </w:tcBorders>
            <w:vAlign w:val="center"/>
          </w:tcPr>
          <w:p>
            <w:pPr>
              <w:widowControl/>
              <w:spacing w:line="9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身份证</w:t>
            </w:r>
          </w:p>
        </w:tc>
        <w:tc>
          <w:tcPr>
            <w:tcW w:w="4734" w:type="dxa"/>
            <w:tcBorders>
              <w:top w:val="nil"/>
              <w:left w:val="nil"/>
              <w:bottom w:val="single" w:color="auto" w:sz="8" w:space="0"/>
              <w:right w:val="single" w:color="auto" w:sz="8" w:space="0"/>
            </w:tcBorders>
            <w:vAlign w:val="center"/>
          </w:tcPr>
          <w:p>
            <w:pPr>
              <w:widowControl/>
              <w:spacing w:line="9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核实原件收复印件</w:t>
            </w:r>
          </w:p>
        </w:tc>
      </w:tr>
      <w:tr>
        <w:tblPrEx>
          <w:tblLayout w:type="fixed"/>
          <w:tblCellMar>
            <w:top w:w="15" w:type="dxa"/>
            <w:left w:w="15" w:type="dxa"/>
            <w:bottom w:w="15" w:type="dxa"/>
            <w:right w:w="15" w:type="dxa"/>
          </w:tblCellMar>
        </w:tblPrEx>
        <w:trPr>
          <w:trHeight w:val="366"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hint="eastAsia" w:ascii="仿宋" w:hAnsi="仿宋" w:eastAsia="仿宋" w:cs="仿宋"/>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婚姻证明</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结婚证/离婚证复印件</w:t>
            </w:r>
          </w:p>
        </w:tc>
      </w:tr>
      <w:tr>
        <w:tblPrEx>
          <w:tblLayout w:type="fixed"/>
          <w:tblCellMar>
            <w:top w:w="15" w:type="dxa"/>
            <w:left w:w="15" w:type="dxa"/>
            <w:bottom w:w="15" w:type="dxa"/>
            <w:right w:w="15" w:type="dxa"/>
          </w:tblCellMar>
        </w:tblPrEx>
        <w:trPr>
          <w:trHeight w:val="451"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hint="eastAsia" w:ascii="仿宋" w:hAnsi="仿宋" w:eastAsia="仿宋" w:cs="仿宋"/>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本人及配偶（如有）征信报告</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收原件（由于真实性问题，网络打印版本不作为核验材料，请本人持身份证原件前往中国人民银行柜台进行办理），需打印购买人本人及配偶征信报告（打印时间3个月内有效）</w:t>
            </w:r>
          </w:p>
        </w:tc>
      </w:tr>
      <w:tr>
        <w:tblPrEx>
          <w:tblLayout w:type="fixed"/>
          <w:tblCellMar>
            <w:top w:w="15" w:type="dxa"/>
            <w:left w:w="15" w:type="dxa"/>
            <w:bottom w:w="15" w:type="dxa"/>
            <w:right w:w="15" w:type="dxa"/>
          </w:tblCellMar>
        </w:tblPrEx>
        <w:trPr>
          <w:trHeight w:val="612"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hint="eastAsia" w:ascii="仿宋" w:hAnsi="仿宋" w:eastAsia="仿宋" w:cs="仿宋"/>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银行存单或流水</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收原件，不高于意向房源首付款，首付款按四川省商业性个人住房贷款最低首付款比例确定，夫妻双方均应当持各自身份证和银行卡到银行打印近半年流水，盖章</w:t>
            </w:r>
          </w:p>
        </w:tc>
      </w:tr>
      <w:tr>
        <w:tblPrEx>
          <w:tblLayout w:type="fixed"/>
          <w:tblCellMar>
            <w:top w:w="15" w:type="dxa"/>
            <w:left w:w="15" w:type="dxa"/>
            <w:bottom w:w="15" w:type="dxa"/>
            <w:right w:w="15" w:type="dxa"/>
          </w:tblCellMar>
        </w:tblPrEx>
        <w:trPr>
          <w:trHeight w:val="1412" w:hRule="atLeast"/>
        </w:trPr>
        <w:tc>
          <w:tcPr>
            <w:tcW w:w="886" w:type="dxa"/>
            <w:vMerge w:val="restart"/>
            <w:tcBorders>
              <w:top w:val="nil"/>
              <w:left w:val="single" w:color="000000" w:sz="12" w:space="0"/>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普通客户</w:t>
            </w:r>
          </w:p>
        </w:tc>
        <w:tc>
          <w:tcPr>
            <w:tcW w:w="1176"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有限购区域户籍客户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户籍证明</w:t>
            </w:r>
          </w:p>
        </w:tc>
        <w:tc>
          <w:tcPr>
            <w:tcW w:w="4734" w:type="dxa"/>
            <w:tcBorders>
              <w:top w:val="single" w:color="auto" w:sz="8" w:space="0"/>
              <w:left w:val="nil"/>
              <w:bottom w:val="single" w:color="000000" w:sz="8" w:space="0"/>
              <w:right w:val="single" w:color="000000" w:sz="12"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核实原件收复印件</w:t>
            </w:r>
          </w:p>
        </w:tc>
      </w:tr>
      <w:tr>
        <w:tblPrEx>
          <w:tblLayout w:type="fixed"/>
          <w:tblCellMar>
            <w:top w:w="15" w:type="dxa"/>
            <w:left w:w="15" w:type="dxa"/>
            <w:bottom w:w="15" w:type="dxa"/>
            <w:right w:w="15" w:type="dxa"/>
          </w:tblCellMar>
        </w:tblPrEx>
        <w:trPr>
          <w:trHeight w:val="1166"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hint="eastAsia" w:ascii="仿宋" w:hAnsi="仿宋" w:eastAsia="仿宋" w:cs="仿宋"/>
                <w:color w:val="333333"/>
                <w:kern w:val="0"/>
                <w:sz w:val="23"/>
                <w:szCs w:val="23"/>
              </w:rPr>
            </w:pPr>
          </w:p>
        </w:tc>
        <w:tc>
          <w:tcPr>
            <w:tcW w:w="1176" w:type="dxa"/>
            <w:vMerge w:val="restart"/>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无限购区域户籍客户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企事业单位工作：限购区域连续不间断缴纳24个月社保证明+连续缴纳24个月的医保证明+稳定就业证明（详见附件1）</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收原件（社保证明在各区社保局可办理，因缴存证明具有时限性，请注意提交有效期内证明文件）</w:t>
            </w:r>
          </w:p>
        </w:tc>
      </w:tr>
      <w:tr>
        <w:tblPrEx>
          <w:tblLayout w:type="fixed"/>
          <w:tblCellMar>
            <w:top w:w="15" w:type="dxa"/>
            <w:left w:w="15" w:type="dxa"/>
            <w:bottom w:w="15" w:type="dxa"/>
            <w:right w:w="15" w:type="dxa"/>
          </w:tblCellMar>
        </w:tblPrEx>
        <w:trPr>
          <w:trHeight w:val="1174"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hint="eastAsia" w:ascii="仿宋" w:hAnsi="仿宋" w:eastAsia="仿宋" w:cs="仿宋"/>
                <w:color w:val="333333"/>
                <w:kern w:val="0"/>
                <w:sz w:val="23"/>
                <w:szCs w:val="23"/>
              </w:rPr>
            </w:pPr>
          </w:p>
        </w:tc>
        <w:tc>
          <w:tcPr>
            <w:tcW w:w="1176" w:type="dxa"/>
            <w:vMerge w:val="continue"/>
            <w:tcBorders>
              <w:top w:val="nil"/>
              <w:left w:val="nil"/>
              <w:bottom w:val="single" w:color="000000" w:sz="8" w:space="0"/>
              <w:right w:val="single" w:color="000000" w:sz="8" w:space="0"/>
            </w:tcBorders>
            <w:shd w:val="clear" w:color="auto" w:fill="FFFFFF"/>
            <w:vAlign w:val="center"/>
          </w:tcPr>
          <w:p>
            <w:pPr>
              <w:widowControl/>
              <w:jc w:val="left"/>
              <w:rPr>
                <w:rFonts w:hint="eastAsia" w:ascii="仿宋" w:hAnsi="仿宋" w:eastAsia="仿宋" w:cs="仿宋"/>
                <w:color w:val="333333"/>
                <w:kern w:val="0"/>
                <w:sz w:val="23"/>
                <w:szCs w:val="23"/>
              </w:rPr>
            </w:pP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个体工商户经营人自行缴纳社保：个体工商户营业执照、连续缴纳24个月的社保证明+连续缴纳24个月的医保证明</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营业执照核实原件收复印件，登记经营人必须为登记购房人本人；</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社保证明收原件，须在有效期以内</w:t>
            </w:r>
          </w:p>
        </w:tc>
      </w:tr>
      <w:tr>
        <w:tblPrEx>
          <w:tblLayout w:type="fixed"/>
          <w:tblCellMar>
            <w:top w:w="15" w:type="dxa"/>
            <w:left w:w="15" w:type="dxa"/>
            <w:bottom w:w="15" w:type="dxa"/>
            <w:right w:w="15" w:type="dxa"/>
          </w:tblCellMar>
        </w:tblPrEx>
        <w:trPr>
          <w:trHeight w:val="632"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现役军人</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在限购区域驻扎的服役部队出具的团级以上证明（详见附件2）、军官证</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收原件，军官证（核原件收复印件）</w:t>
            </w:r>
          </w:p>
        </w:tc>
      </w:tr>
      <w:tr>
        <w:tblPrEx>
          <w:tblLayout w:type="fixed"/>
          <w:tblCellMar>
            <w:top w:w="15" w:type="dxa"/>
            <w:left w:w="15" w:type="dxa"/>
            <w:bottom w:w="15" w:type="dxa"/>
            <w:right w:w="15" w:type="dxa"/>
          </w:tblCellMar>
        </w:tblPrEx>
        <w:trPr>
          <w:trHeight w:val="513"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高端人才</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高端人才证明或成都人才绿卡</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高端人才证明收原件【高端人才证明由区政府（管委会）出具，通过公文交换的方式转递）】</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成都人才绿卡核实原件收复印件</w:t>
            </w:r>
          </w:p>
        </w:tc>
      </w:tr>
      <w:tr>
        <w:tblPrEx>
          <w:tblLayout w:type="fixed"/>
          <w:tblCellMar>
            <w:top w:w="15" w:type="dxa"/>
            <w:left w:w="15" w:type="dxa"/>
            <w:bottom w:w="15" w:type="dxa"/>
            <w:right w:w="15" w:type="dxa"/>
          </w:tblCellMar>
        </w:tblPrEx>
        <w:trPr>
          <w:trHeight w:val="2005"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棚改住户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《成都市国有土地上房屋征收补偿安置合同备案表（货币补偿）》</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hint="eastAsia" w:ascii="仿宋" w:hAnsi="仿宋" w:eastAsia="仿宋" w:cs="仿宋"/>
                <w:color w:val="333333"/>
                <w:kern w:val="0"/>
                <w:sz w:val="23"/>
                <w:szCs w:val="23"/>
              </w:rPr>
            </w:pPr>
            <w:r>
              <w:rPr>
                <w:rFonts w:hint="eastAsia" w:ascii="仿宋" w:hAnsi="仿宋" w:eastAsia="仿宋" w:cs="仿宋"/>
                <w:color w:val="000000"/>
                <w:kern w:val="0"/>
                <w:sz w:val="28"/>
                <w:szCs w:val="28"/>
              </w:rPr>
              <w:t>收原件</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身份界定：2016年10月1日后棚改货币化安置补偿协议生效且购房登记日前未在我市住房限购区域新购买住房的住户，符合住房限购政策的区域条件</w:t>
            </w:r>
          </w:p>
        </w:tc>
      </w:tr>
    </w:tbl>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p>
    <w:p>
      <w:pPr>
        <w:ind w:left="2646" w:leftChars="1260" w:firstLine="2550" w:firstLineChars="850"/>
        <w:rPr>
          <w:rFonts w:hint="eastAsia" w:ascii="仿宋" w:hAnsi="仿宋" w:eastAsia="仿宋" w:cs="仿宋"/>
          <w:sz w:val="30"/>
          <w:szCs w:val="30"/>
        </w:rPr>
      </w:pPr>
      <w:bookmarkStart w:id="0" w:name="_GoBack"/>
      <w:bookmarkEnd w:id="0"/>
    </w:p>
    <w:sectPr>
      <w:pgSz w:w="11906" w:h="16838"/>
      <w:pgMar w:top="1361" w:right="1531" w:bottom="136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楷体简体">
    <w:altName w:val="宋体"/>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方正兰亭超细黑简体">
    <w:panose1 w:val="02000000000000000000"/>
    <w:charset w:val="86"/>
    <w:family w:val="auto"/>
    <w:pitch w:val="default"/>
    <w:sig w:usb0="00000001" w:usb1="08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S Mincho">
    <w:panose1 w:val="02020609040205080304"/>
    <w:charset w:val="80"/>
    <w:family w:val="auto"/>
    <w:pitch w:val="default"/>
    <w:sig w:usb0="E00002FF" w:usb1="6AC7FDFB" w:usb2="00000012" w:usb3="00000000" w:csb0="4002009F" w:csb1="DFD70000"/>
  </w:font>
  <w:font w:name="SimSun-ExtB">
    <w:panose1 w:val="02010609060101010101"/>
    <w:charset w:val="86"/>
    <w:family w:val="auto"/>
    <w:pitch w:val="default"/>
    <w:sig w:usb0="00000001" w:usb1="02000000" w:usb2="00000000" w:usb3="00000000" w:csb0="00040001" w:csb1="00000000"/>
  </w:font>
  <w:font w:name="David">
    <w:panose1 w:val="020E0502060401010101"/>
    <w:charset w:val="00"/>
    <w:family w:val="auto"/>
    <w:pitch w:val="default"/>
    <w:sig w:usb0="00000801" w:usb1="00000000" w:usb2="00000000" w:usb3="00000000" w:csb0="00000020" w:csb1="00200000"/>
  </w:font>
  <w:font w:name="DaunPenh">
    <w:panose1 w:val="01010101010101010101"/>
    <w:charset w:val="00"/>
    <w:family w:val="auto"/>
    <w:pitch w:val="default"/>
    <w:sig w:usb0="00000003" w:usb1="00000000" w:usb2="00010000" w:usb3="00000000" w:csb0="00000001" w:csb1="00000000"/>
  </w:font>
  <w:font w:name="Courier New">
    <w:panose1 w:val="02070309020205020404"/>
    <w:charset w:val="00"/>
    <w:family w:val="auto"/>
    <w:pitch w:val="default"/>
    <w:sig w:usb0="E0002AFF" w:usb1="C0007843" w:usb2="00000009" w:usb3="00000000" w:csb0="400001FF" w:csb1="FFFF0000"/>
  </w:font>
  <w:font w:name="DilleniaUPC">
    <w:panose1 w:val="02020603050405020304"/>
    <w:charset w:val="00"/>
    <w:family w:val="auto"/>
    <w:pitch w:val="default"/>
    <w:sig w:usb0="81000027" w:usb1="00000002" w:usb2="00000000" w:usb3="00000000" w:csb0="00010001" w:csb1="00000000"/>
  </w:font>
  <w:font w:name="Euphemia">
    <w:panose1 w:val="020B0503040102020104"/>
    <w:charset w:val="00"/>
    <w:family w:val="auto"/>
    <w:pitch w:val="default"/>
    <w:sig w:usb0="8000006F" w:usb1="0000004A" w:usb2="00002000" w:usb3="00000000" w:csb0="00000001" w:csb1="00000000"/>
  </w:font>
  <w:font w:name="KodchiangUPC">
    <w:panose1 w:val="02020603050405020304"/>
    <w:charset w:val="00"/>
    <w:family w:val="auto"/>
    <w:pitch w:val="default"/>
    <w:sig w:usb0="01000007" w:usb1="00000002" w:usb2="00000000" w:usb3="00000000" w:csb0="00010001" w:csb1="00000000"/>
  </w:font>
  <w:font w:name="Levenim MT">
    <w:panose1 w:val="02010502060101010101"/>
    <w:charset w:val="00"/>
    <w:family w:val="auto"/>
    <w:pitch w:val="default"/>
    <w:sig w:usb0="00000801" w:usb1="00000000" w:usb2="00000000" w:usb3="00000000" w:csb0="00000020" w:csb1="00200000"/>
  </w:font>
  <w:font w:name="Mangal">
    <w:panose1 w:val="02040503050203030202"/>
    <w:charset w:val="00"/>
    <w:family w:val="auto"/>
    <w:pitch w:val="default"/>
    <w:sig w:usb0="00008003" w:usb1="00000000" w:usb2="0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Yi Baiti">
    <w:panose1 w:val="03000500000000000000"/>
    <w:charset w:val="00"/>
    <w:family w:val="auto"/>
    <w:pitch w:val="default"/>
    <w:sig w:usb0="80000003" w:usb1="00010402" w:usb2="00080002" w:usb3="00000000" w:csb0="00000001" w:csb1="00000000"/>
  </w:font>
  <w:font w:name="Miriam">
    <w:panose1 w:val="020B0502050101010101"/>
    <w:charset w:val="00"/>
    <w:family w:val="auto"/>
    <w:pitch w:val="default"/>
    <w:sig w:usb0="00000801" w:usb1="00000000" w:usb2="00000000" w:usb3="00000000" w:csb0="00000020" w:csb1="00200000"/>
  </w:font>
  <w:font w:name="MoolBoran">
    <w:panose1 w:val="020B0100010101010101"/>
    <w:charset w:val="00"/>
    <w:family w:val="auto"/>
    <w:pitch w:val="default"/>
    <w:sig w:usb0="8000000F" w:usb1="0000204A" w:usb2="00010000" w:usb3="00000000" w:csb0="00000001" w:csb1="00000000"/>
  </w:font>
  <w:font w:name="Palatino Linotype">
    <w:panose1 w:val="02040502050505030304"/>
    <w:charset w:val="00"/>
    <w:family w:val="auto"/>
    <w:pitch w:val="default"/>
    <w:sig w:usb0="E0000287" w:usb1="40000013" w:usb2="00000000" w:usb3="00000000" w:csb0="2000019F" w:csb1="00000000"/>
  </w:font>
  <w:font w:name="Segoe UI Light">
    <w:panose1 w:val="020B0502040204020203"/>
    <w:charset w:val="00"/>
    <w:family w:val="auto"/>
    <w:pitch w:val="default"/>
    <w:sig w:usb0="E00002FF" w:usb1="4000A47B" w:usb2="00000001" w:usb3="00000000" w:csb0="2000019F" w:csb1="00000000"/>
  </w:font>
  <w:font w:name="Trebuchet MS">
    <w:panose1 w:val="020B0603020202020204"/>
    <w:charset w:val="00"/>
    <w:family w:val="auto"/>
    <w:pitch w:val="default"/>
    <w:sig w:usb0="00000287" w:usb1="00000000" w:usb2="00000000" w:usb3="00000000" w:csb0="2000009F" w:csb1="00000000"/>
  </w:font>
  <w:font w:name="Tunga">
    <w:panose1 w:val="020B0502040204020203"/>
    <w:charset w:val="00"/>
    <w:family w:val="auto"/>
    <w:pitch w:val="default"/>
    <w:sig w:usb0="00400003" w:usb1="00000000" w:usb2="00000000" w:usb3="00000000" w:csb0="00000001" w:csb1="00000000"/>
  </w:font>
  <w:font w:name="方正仿宋_GBK">
    <w:altName w:val="微软雅黑"/>
    <w:panose1 w:val="00000000000000000000"/>
    <w:charset w:val="00"/>
    <w:family w:val="auto"/>
    <w:pitch w:val="default"/>
    <w:sig w:usb0="00000000" w:usb1="00000000" w:usb2="00000000" w:usb3="00000000" w:csb0="00000000" w:csb1="00000000"/>
  </w:font>
  <w:font w:name="叶根友毛笔行书2.0版">
    <w:panose1 w:val="02010601030101010101"/>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Batang">
    <w:panose1 w:val="02030600000101010101"/>
    <w:charset w:val="81"/>
    <w:family w:val="auto"/>
    <w:pitch w:val="default"/>
    <w:sig w:usb0="B00002AF" w:usb1="69D77CFB" w:usb2="00000030" w:usb3="00000000" w:csb0="4008009F" w:csb1="DFD70000"/>
  </w:font>
  <w:font w:name="幼圆">
    <w:panose1 w:val="0201050906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BatangChe">
    <w:panose1 w:val="0203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1z+lVWH6eNi+boibUEsvDdqshu4=" w:salt="qVF5gD4MH3wHI5t4vc5vWQ=="/>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25D78"/>
    <w:rsid w:val="00033117"/>
    <w:rsid w:val="00034640"/>
    <w:rsid w:val="000377FC"/>
    <w:rsid w:val="00041386"/>
    <w:rsid w:val="0004696A"/>
    <w:rsid w:val="000471FB"/>
    <w:rsid w:val="000519FD"/>
    <w:rsid w:val="00051A8A"/>
    <w:rsid w:val="00062834"/>
    <w:rsid w:val="000815A5"/>
    <w:rsid w:val="000A2BE2"/>
    <w:rsid w:val="000A5387"/>
    <w:rsid w:val="000B6AC5"/>
    <w:rsid w:val="000C12FE"/>
    <w:rsid w:val="000C4F54"/>
    <w:rsid w:val="000D11B0"/>
    <w:rsid w:val="000D6767"/>
    <w:rsid w:val="000F2352"/>
    <w:rsid w:val="000F49B1"/>
    <w:rsid w:val="000F61FD"/>
    <w:rsid w:val="000F6482"/>
    <w:rsid w:val="001078F1"/>
    <w:rsid w:val="001245A0"/>
    <w:rsid w:val="00140CD1"/>
    <w:rsid w:val="0014670F"/>
    <w:rsid w:val="00171312"/>
    <w:rsid w:val="0018038D"/>
    <w:rsid w:val="00183E5B"/>
    <w:rsid w:val="00186419"/>
    <w:rsid w:val="001923B5"/>
    <w:rsid w:val="001A3D02"/>
    <w:rsid w:val="001B7150"/>
    <w:rsid w:val="00214BF6"/>
    <w:rsid w:val="0022024D"/>
    <w:rsid w:val="0023141D"/>
    <w:rsid w:val="00234D93"/>
    <w:rsid w:val="002453EE"/>
    <w:rsid w:val="0025003B"/>
    <w:rsid w:val="00255B5C"/>
    <w:rsid w:val="0026149F"/>
    <w:rsid w:val="002647EE"/>
    <w:rsid w:val="00270176"/>
    <w:rsid w:val="002774B4"/>
    <w:rsid w:val="002843DD"/>
    <w:rsid w:val="00284C2A"/>
    <w:rsid w:val="00284E14"/>
    <w:rsid w:val="00285D9E"/>
    <w:rsid w:val="002905E1"/>
    <w:rsid w:val="00297CE4"/>
    <w:rsid w:val="002B2CFF"/>
    <w:rsid w:val="002C0433"/>
    <w:rsid w:val="002C2D63"/>
    <w:rsid w:val="002E295D"/>
    <w:rsid w:val="002E6EEB"/>
    <w:rsid w:val="002E75CE"/>
    <w:rsid w:val="002F2E4B"/>
    <w:rsid w:val="002F38F6"/>
    <w:rsid w:val="0030572D"/>
    <w:rsid w:val="00324813"/>
    <w:rsid w:val="00331071"/>
    <w:rsid w:val="00337984"/>
    <w:rsid w:val="00350BD1"/>
    <w:rsid w:val="00364A26"/>
    <w:rsid w:val="003662DA"/>
    <w:rsid w:val="00370AED"/>
    <w:rsid w:val="00385C8C"/>
    <w:rsid w:val="003A6C3D"/>
    <w:rsid w:val="003B18F9"/>
    <w:rsid w:val="003B25F3"/>
    <w:rsid w:val="003B38EC"/>
    <w:rsid w:val="003C0DDD"/>
    <w:rsid w:val="003C7491"/>
    <w:rsid w:val="003D33EA"/>
    <w:rsid w:val="003E7550"/>
    <w:rsid w:val="004014A1"/>
    <w:rsid w:val="0041129D"/>
    <w:rsid w:val="00417BE1"/>
    <w:rsid w:val="0042295D"/>
    <w:rsid w:val="0042400D"/>
    <w:rsid w:val="004252EA"/>
    <w:rsid w:val="00427FED"/>
    <w:rsid w:val="00431140"/>
    <w:rsid w:val="004331F3"/>
    <w:rsid w:val="004402BA"/>
    <w:rsid w:val="00440C18"/>
    <w:rsid w:val="00444EF8"/>
    <w:rsid w:val="004550EE"/>
    <w:rsid w:val="00474900"/>
    <w:rsid w:val="004764ED"/>
    <w:rsid w:val="0049565B"/>
    <w:rsid w:val="004A5E0F"/>
    <w:rsid w:val="004A7510"/>
    <w:rsid w:val="004B347A"/>
    <w:rsid w:val="004D6DF9"/>
    <w:rsid w:val="004D7011"/>
    <w:rsid w:val="004F2F7B"/>
    <w:rsid w:val="004F5244"/>
    <w:rsid w:val="00502BD5"/>
    <w:rsid w:val="00513FE8"/>
    <w:rsid w:val="0052072F"/>
    <w:rsid w:val="0052386E"/>
    <w:rsid w:val="00541EFF"/>
    <w:rsid w:val="00547F1D"/>
    <w:rsid w:val="005541D5"/>
    <w:rsid w:val="00555E3A"/>
    <w:rsid w:val="00564717"/>
    <w:rsid w:val="00570A38"/>
    <w:rsid w:val="00572A20"/>
    <w:rsid w:val="00575BB2"/>
    <w:rsid w:val="0058119C"/>
    <w:rsid w:val="00593DBD"/>
    <w:rsid w:val="00595F9D"/>
    <w:rsid w:val="005A0C19"/>
    <w:rsid w:val="005A257E"/>
    <w:rsid w:val="005B0CDD"/>
    <w:rsid w:val="005C1760"/>
    <w:rsid w:val="005C6E2F"/>
    <w:rsid w:val="005F7F29"/>
    <w:rsid w:val="00601B7F"/>
    <w:rsid w:val="006202ED"/>
    <w:rsid w:val="0062096E"/>
    <w:rsid w:val="00621758"/>
    <w:rsid w:val="0062298E"/>
    <w:rsid w:val="006336F3"/>
    <w:rsid w:val="00635DC0"/>
    <w:rsid w:val="00637990"/>
    <w:rsid w:val="00655B8E"/>
    <w:rsid w:val="00662371"/>
    <w:rsid w:val="00681C7A"/>
    <w:rsid w:val="006A3287"/>
    <w:rsid w:val="006B4468"/>
    <w:rsid w:val="006C32FE"/>
    <w:rsid w:val="006C3D6F"/>
    <w:rsid w:val="006F0929"/>
    <w:rsid w:val="00716FE9"/>
    <w:rsid w:val="00731E4E"/>
    <w:rsid w:val="00737C5C"/>
    <w:rsid w:val="00755DA4"/>
    <w:rsid w:val="0076644D"/>
    <w:rsid w:val="007669A1"/>
    <w:rsid w:val="0077631F"/>
    <w:rsid w:val="00780425"/>
    <w:rsid w:val="007A0B06"/>
    <w:rsid w:val="007A5034"/>
    <w:rsid w:val="007C3841"/>
    <w:rsid w:val="007D2D98"/>
    <w:rsid w:val="007F3D72"/>
    <w:rsid w:val="00800AE3"/>
    <w:rsid w:val="00802331"/>
    <w:rsid w:val="008128C3"/>
    <w:rsid w:val="0083306B"/>
    <w:rsid w:val="0083797D"/>
    <w:rsid w:val="00844CB7"/>
    <w:rsid w:val="00846A8F"/>
    <w:rsid w:val="00853803"/>
    <w:rsid w:val="00863B12"/>
    <w:rsid w:val="0088186A"/>
    <w:rsid w:val="00893ABC"/>
    <w:rsid w:val="0089560D"/>
    <w:rsid w:val="00897588"/>
    <w:rsid w:val="008B08C7"/>
    <w:rsid w:val="008C0EEF"/>
    <w:rsid w:val="008D6B82"/>
    <w:rsid w:val="008F4A6A"/>
    <w:rsid w:val="00901FC8"/>
    <w:rsid w:val="00907071"/>
    <w:rsid w:val="009077A3"/>
    <w:rsid w:val="00920E82"/>
    <w:rsid w:val="0092543B"/>
    <w:rsid w:val="009444D4"/>
    <w:rsid w:val="0095178E"/>
    <w:rsid w:val="009551E2"/>
    <w:rsid w:val="0096245E"/>
    <w:rsid w:val="0096536F"/>
    <w:rsid w:val="00970853"/>
    <w:rsid w:val="009821D9"/>
    <w:rsid w:val="009875EC"/>
    <w:rsid w:val="0099767E"/>
    <w:rsid w:val="009A1D6B"/>
    <w:rsid w:val="009B6560"/>
    <w:rsid w:val="009C1535"/>
    <w:rsid w:val="009C42CB"/>
    <w:rsid w:val="009C697E"/>
    <w:rsid w:val="009E2CBD"/>
    <w:rsid w:val="009E6C6D"/>
    <w:rsid w:val="00A00537"/>
    <w:rsid w:val="00A07AAC"/>
    <w:rsid w:val="00A14C84"/>
    <w:rsid w:val="00A30FE4"/>
    <w:rsid w:val="00A33F2D"/>
    <w:rsid w:val="00A37F0A"/>
    <w:rsid w:val="00A414C8"/>
    <w:rsid w:val="00A5120C"/>
    <w:rsid w:val="00A64F1B"/>
    <w:rsid w:val="00AA59D6"/>
    <w:rsid w:val="00AB0DE8"/>
    <w:rsid w:val="00AB40E2"/>
    <w:rsid w:val="00AB5DA7"/>
    <w:rsid w:val="00AF1E1B"/>
    <w:rsid w:val="00AF4AA3"/>
    <w:rsid w:val="00AF6107"/>
    <w:rsid w:val="00B117B4"/>
    <w:rsid w:val="00B1487A"/>
    <w:rsid w:val="00B14BED"/>
    <w:rsid w:val="00B23F3A"/>
    <w:rsid w:val="00B27001"/>
    <w:rsid w:val="00B3455A"/>
    <w:rsid w:val="00B346E7"/>
    <w:rsid w:val="00B360CD"/>
    <w:rsid w:val="00B469B8"/>
    <w:rsid w:val="00B500E5"/>
    <w:rsid w:val="00B6099A"/>
    <w:rsid w:val="00B66FE4"/>
    <w:rsid w:val="00B67AE8"/>
    <w:rsid w:val="00B7267B"/>
    <w:rsid w:val="00B87C20"/>
    <w:rsid w:val="00B97131"/>
    <w:rsid w:val="00BA12E9"/>
    <w:rsid w:val="00BA1FC7"/>
    <w:rsid w:val="00BA301D"/>
    <w:rsid w:val="00BB11A9"/>
    <w:rsid w:val="00BC09FC"/>
    <w:rsid w:val="00BC5727"/>
    <w:rsid w:val="00BD1653"/>
    <w:rsid w:val="00BD2313"/>
    <w:rsid w:val="00BD37ED"/>
    <w:rsid w:val="00BD67D8"/>
    <w:rsid w:val="00BE6D08"/>
    <w:rsid w:val="00BF5DC0"/>
    <w:rsid w:val="00C05AC1"/>
    <w:rsid w:val="00C27D3A"/>
    <w:rsid w:val="00C30ECB"/>
    <w:rsid w:val="00C31968"/>
    <w:rsid w:val="00C4094F"/>
    <w:rsid w:val="00C45C8C"/>
    <w:rsid w:val="00C5455B"/>
    <w:rsid w:val="00C555DE"/>
    <w:rsid w:val="00C5789C"/>
    <w:rsid w:val="00C8231D"/>
    <w:rsid w:val="00CA263B"/>
    <w:rsid w:val="00CA5BCA"/>
    <w:rsid w:val="00CD3488"/>
    <w:rsid w:val="00CD4798"/>
    <w:rsid w:val="00CF1CF8"/>
    <w:rsid w:val="00D11B0C"/>
    <w:rsid w:val="00D123B0"/>
    <w:rsid w:val="00D144D0"/>
    <w:rsid w:val="00D14EFB"/>
    <w:rsid w:val="00D24D00"/>
    <w:rsid w:val="00D3416F"/>
    <w:rsid w:val="00D370F4"/>
    <w:rsid w:val="00D4086E"/>
    <w:rsid w:val="00D439AF"/>
    <w:rsid w:val="00D71B50"/>
    <w:rsid w:val="00D83C4D"/>
    <w:rsid w:val="00D85C13"/>
    <w:rsid w:val="00D96B8A"/>
    <w:rsid w:val="00DB373D"/>
    <w:rsid w:val="00DB5E17"/>
    <w:rsid w:val="00DC2F16"/>
    <w:rsid w:val="00DD3114"/>
    <w:rsid w:val="00DD492D"/>
    <w:rsid w:val="00DE370A"/>
    <w:rsid w:val="00E03671"/>
    <w:rsid w:val="00E048A4"/>
    <w:rsid w:val="00E22A10"/>
    <w:rsid w:val="00E22CAD"/>
    <w:rsid w:val="00E27E10"/>
    <w:rsid w:val="00E449A7"/>
    <w:rsid w:val="00E64BF6"/>
    <w:rsid w:val="00E72152"/>
    <w:rsid w:val="00E87409"/>
    <w:rsid w:val="00E93B77"/>
    <w:rsid w:val="00EA1DCE"/>
    <w:rsid w:val="00EA6779"/>
    <w:rsid w:val="00EB4EB7"/>
    <w:rsid w:val="00EB6B62"/>
    <w:rsid w:val="00EB7DB6"/>
    <w:rsid w:val="00EC1564"/>
    <w:rsid w:val="00EC21DB"/>
    <w:rsid w:val="00ED104F"/>
    <w:rsid w:val="00ED23D2"/>
    <w:rsid w:val="00ED6FBA"/>
    <w:rsid w:val="00EF3AA3"/>
    <w:rsid w:val="00F10EEF"/>
    <w:rsid w:val="00F425D4"/>
    <w:rsid w:val="00F54645"/>
    <w:rsid w:val="00F71D1E"/>
    <w:rsid w:val="00F72AD6"/>
    <w:rsid w:val="00F82D38"/>
    <w:rsid w:val="00F912F0"/>
    <w:rsid w:val="00F92AFA"/>
    <w:rsid w:val="00F96079"/>
    <w:rsid w:val="00FA085B"/>
    <w:rsid w:val="00FA0D37"/>
    <w:rsid w:val="00FA1CC6"/>
    <w:rsid w:val="00FA4339"/>
    <w:rsid w:val="00FA7359"/>
    <w:rsid w:val="00FC51B4"/>
    <w:rsid w:val="00FD5794"/>
    <w:rsid w:val="00FD5E55"/>
    <w:rsid w:val="00FE1A97"/>
    <w:rsid w:val="00FE39E0"/>
    <w:rsid w:val="00FE4CAB"/>
    <w:rsid w:val="00FE638C"/>
    <w:rsid w:val="011F02DC"/>
    <w:rsid w:val="030570F3"/>
    <w:rsid w:val="031E519C"/>
    <w:rsid w:val="050E7CED"/>
    <w:rsid w:val="067766E5"/>
    <w:rsid w:val="0AD8378E"/>
    <w:rsid w:val="0B811FE5"/>
    <w:rsid w:val="0D061DD6"/>
    <w:rsid w:val="0D8F4E07"/>
    <w:rsid w:val="0FA1186B"/>
    <w:rsid w:val="17C5127C"/>
    <w:rsid w:val="17F35F62"/>
    <w:rsid w:val="22070804"/>
    <w:rsid w:val="25634FCA"/>
    <w:rsid w:val="28E96A03"/>
    <w:rsid w:val="2DF15096"/>
    <w:rsid w:val="329A50A4"/>
    <w:rsid w:val="34161D42"/>
    <w:rsid w:val="3B30376C"/>
    <w:rsid w:val="40E0017C"/>
    <w:rsid w:val="41207E7E"/>
    <w:rsid w:val="4299091D"/>
    <w:rsid w:val="48286913"/>
    <w:rsid w:val="48655597"/>
    <w:rsid w:val="48C86191"/>
    <w:rsid w:val="495B19E7"/>
    <w:rsid w:val="50330583"/>
    <w:rsid w:val="571E14A6"/>
    <w:rsid w:val="5850382D"/>
    <w:rsid w:val="58D01815"/>
    <w:rsid w:val="5DC45B53"/>
    <w:rsid w:val="5FAA34B7"/>
    <w:rsid w:val="64616488"/>
    <w:rsid w:val="6CFD4AD8"/>
    <w:rsid w:val="713F4B44"/>
    <w:rsid w:val="71D415E4"/>
    <w:rsid w:val="723F71EF"/>
    <w:rsid w:val="73E233D0"/>
    <w:rsid w:val="7664608F"/>
    <w:rsid w:val="76A30ECA"/>
    <w:rsid w:val="770C1B84"/>
    <w:rsid w:val="79E637B3"/>
    <w:rsid w:val="7AFC6609"/>
    <w:rsid w:val="7B5C5FBB"/>
    <w:rsid w:val="7E9B517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99"/>
    <w:rPr>
      <w:rFonts w:cs="Times New Roman"/>
      <w:color w:val="727272"/>
      <w:u w:val="none"/>
    </w:rPr>
  </w:style>
  <w:style w:type="character" w:customStyle="1" w:styleId="10">
    <w:name w:val="Date Char"/>
    <w:basedOn w:val="7"/>
    <w:link w:val="2"/>
    <w:semiHidden/>
    <w:qFormat/>
    <w:locked/>
    <w:uiPriority w:val="99"/>
    <w:rPr>
      <w:rFonts w:cs="Times New Roman"/>
    </w:rPr>
  </w:style>
  <w:style w:type="character" w:customStyle="1" w:styleId="11">
    <w:name w:val="Balloon Text Char"/>
    <w:basedOn w:val="7"/>
    <w:link w:val="3"/>
    <w:semiHidden/>
    <w:qFormat/>
    <w:locked/>
    <w:uiPriority w:val="99"/>
    <w:rPr>
      <w:rFonts w:cs="Times New Roman"/>
      <w:sz w:val="18"/>
      <w:szCs w:val="18"/>
    </w:rPr>
  </w:style>
  <w:style w:type="character" w:customStyle="1" w:styleId="12">
    <w:name w:val="Footer Char"/>
    <w:basedOn w:val="7"/>
    <w:link w:val="4"/>
    <w:qFormat/>
    <w:locked/>
    <w:uiPriority w:val="99"/>
    <w:rPr>
      <w:rFonts w:cs="Times New Roman"/>
      <w:sz w:val="18"/>
      <w:szCs w:val="18"/>
    </w:rPr>
  </w:style>
  <w:style w:type="character" w:customStyle="1" w:styleId="13">
    <w:name w:val="Header Char"/>
    <w:basedOn w:val="7"/>
    <w:link w:val="5"/>
    <w:qFormat/>
    <w:locked/>
    <w:uiPriority w:val="99"/>
    <w:rPr>
      <w:rFonts w:cs="Times New Roman"/>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14</Pages>
  <Words>715</Words>
  <Characters>4077</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2018-01-08T10:22:00Z</cp:lastPrinted>
  <dcterms:modified xsi:type="dcterms:W3CDTF">2018-01-24T09:47:10Z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