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微软雅黑" w:hAnsi="微软雅黑" w:eastAsia="微软雅黑" w:cs="方正小标宋简体"/>
          <w:bCs/>
          <w:color w:val="000000" w:themeColor="text1"/>
          <w:sz w:val="44"/>
          <w:szCs w:val="44"/>
          <w14:textFill>
            <w14:solidFill>
              <w14:schemeClr w14:val="tx1"/>
            </w14:solidFill>
          </w14:textFill>
        </w:rPr>
      </w:pPr>
      <w:r>
        <w:rPr>
          <w:rFonts w:hint="eastAsia" w:ascii="微软雅黑" w:hAnsi="微软雅黑" w:eastAsia="微软雅黑" w:cs="方正小标宋简体"/>
          <w:bCs/>
          <w:sz w:val="44"/>
          <w:szCs w:val="44"/>
          <w:u w:val="single"/>
        </w:rPr>
        <w:t>同森锦熙9/10号楼</w:t>
      </w:r>
      <w:r>
        <w:rPr>
          <w:rFonts w:hint="eastAsia" w:ascii="微软雅黑" w:hAnsi="微软雅黑" w:eastAsia="微软雅黑" w:cs="方正小标宋简体"/>
          <w:bCs/>
          <w:sz w:val="44"/>
          <w:szCs w:val="44"/>
        </w:rPr>
        <w:t>购房登记规则</w:t>
      </w:r>
    </w:p>
    <w:p>
      <w:pPr>
        <w:ind w:firstLine="640" w:firstLineChars="200"/>
        <w:rPr>
          <w:rFonts w:ascii="方正仿宋_GBK" w:hAnsi="方正仿宋_GBK" w:eastAsia="方正仿宋_GBK" w:cs="方正仿宋_GBK"/>
          <w:sz w:val="32"/>
          <w:szCs w:val="32"/>
        </w:rPr>
      </w:pP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根据成都市房管局、司法局</w:t>
      </w:r>
      <w:r>
        <w:rPr>
          <w:rFonts w:hint="eastAsia" w:ascii="微软雅黑" w:hAnsi="微软雅黑" w:eastAsia="微软雅黑" w:cs="方正仿宋_GBK"/>
          <w:color w:val="000000" w:themeColor="text1"/>
          <w:szCs w:val="21"/>
          <w14:textFill>
            <w14:solidFill>
              <w14:schemeClr w14:val="tx1"/>
            </w14:solidFill>
          </w14:textFill>
        </w:rPr>
        <w:t>印发</w:t>
      </w:r>
      <w:r>
        <w:rPr>
          <w:rFonts w:hint="eastAsia" w:ascii="微软雅黑" w:hAnsi="微软雅黑" w:eastAsia="微软雅黑" w:cs="方正仿宋_GBK"/>
          <w:szCs w:val="21"/>
        </w:rPr>
        <w:t>的《关于商品住房开盘销售采用公证摇号排序选房有关事宜的通知》(成房发〔2017〕137号)和成都市公证协会</w:t>
      </w:r>
      <w:r>
        <w:rPr>
          <w:rFonts w:hint="eastAsia" w:ascii="微软雅黑" w:hAnsi="微软雅黑" w:eastAsia="微软雅黑" w:cs="方正仿宋_GBK"/>
          <w:color w:val="000000" w:themeColor="text1"/>
          <w:szCs w:val="21"/>
          <w14:textFill>
            <w14:solidFill>
              <w14:schemeClr w14:val="tx1"/>
            </w14:solidFill>
          </w14:textFill>
        </w:rPr>
        <w:t>印发</w:t>
      </w:r>
      <w:r>
        <w:rPr>
          <w:rFonts w:hint="eastAsia" w:ascii="微软雅黑" w:hAnsi="微软雅黑" w:eastAsia="微软雅黑" w:cs="方正仿宋_GBK"/>
          <w:szCs w:val="21"/>
        </w:rPr>
        <w:t>的《成都市公证协会关于办理商品住房开盘销售摇号排序选房现场监督公证及相关保全证据公证的指导意见》</w:t>
      </w:r>
      <w:r>
        <w:rPr>
          <w:rFonts w:hint="eastAsia" w:ascii="微软雅黑" w:hAnsi="微软雅黑" w:eastAsia="微软雅黑" w:cs="方正仿宋_GBK"/>
          <w:color w:val="000000" w:themeColor="text1"/>
          <w:szCs w:val="21"/>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微软雅黑" w:hAnsi="微软雅黑" w:eastAsia="微软雅黑" w:cs="方正仿宋_GBK"/>
          <w:szCs w:val="21"/>
        </w:rPr>
        <w:t xml:space="preserve">制定我公司 </w:t>
      </w:r>
      <w:r>
        <w:rPr>
          <w:rFonts w:hint="eastAsia" w:ascii="微软雅黑" w:hAnsi="微软雅黑" w:eastAsia="微软雅黑" w:cs="方正仿宋_GBK"/>
          <w:szCs w:val="21"/>
          <w:u w:val="single"/>
        </w:rPr>
        <w:t xml:space="preserve">同森锦熙 </w:t>
      </w:r>
      <w:r>
        <w:rPr>
          <w:rFonts w:hint="eastAsia" w:ascii="微软雅黑" w:hAnsi="微软雅黑" w:eastAsia="微软雅黑" w:cs="方正仿宋_GBK"/>
          <w:szCs w:val="21"/>
        </w:rPr>
        <w:t>项目9/</w:t>
      </w:r>
      <w:r>
        <w:rPr>
          <w:rFonts w:ascii="微软雅黑" w:hAnsi="微软雅黑" w:eastAsia="微软雅黑" w:cs="方正仿宋_GBK"/>
          <w:szCs w:val="21"/>
        </w:rPr>
        <w:t>10</w:t>
      </w:r>
      <w:r>
        <w:rPr>
          <w:rFonts w:hint="eastAsia" w:ascii="微软雅黑" w:hAnsi="微软雅黑" w:eastAsia="微软雅黑" w:cs="方正仿宋_GBK"/>
          <w:szCs w:val="21"/>
        </w:rPr>
        <w:t>号楼的购房登记规则。请有意向购买我公司该项目住房的购房人，按照以下规则进行购房登记：</w:t>
      </w:r>
    </w:p>
    <w:p>
      <w:pPr>
        <w:rPr>
          <w:rFonts w:ascii="微软雅黑" w:hAnsi="微软雅黑" w:eastAsia="微软雅黑" w:cs="方正仿宋_GBK"/>
          <w:szCs w:val="21"/>
        </w:rPr>
      </w:pPr>
    </w:p>
    <w:p>
      <w:pPr>
        <w:ind w:firstLine="420" w:firstLineChars="200"/>
        <w:rPr>
          <w:rFonts w:ascii="微软雅黑" w:hAnsi="微软雅黑" w:eastAsia="微软雅黑" w:cs="方正黑体_GBK"/>
          <w:szCs w:val="21"/>
        </w:rPr>
      </w:pPr>
      <w:r>
        <w:rPr>
          <w:rFonts w:hint="eastAsia" w:ascii="微软雅黑" w:hAnsi="微软雅黑" w:eastAsia="微软雅黑" w:cs="方正黑体_GBK"/>
          <w:szCs w:val="21"/>
        </w:rPr>
        <w:t>一、房源状况及分配情况</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本次公证摇号开盘销售的全部准售房源共448套，面积约45536</w:t>
      </w:r>
      <w:r>
        <w:rPr>
          <w:rFonts w:hint="eastAsia" w:ascii="Arial Unicode MS" w:hAnsi="Arial Unicode MS" w:eastAsia="Arial Unicode MS" w:cs="Arial Unicode MS"/>
          <w:szCs w:val="21"/>
        </w:rPr>
        <w:t>㎡</w:t>
      </w:r>
      <w:r>
        <w:rPr>
          <w:rFonts w:hint="eastAsia" w:ascii="微软雅黑" w:hAnsi="微软雅黑" w:eastAsia="微软雅黑" w:cs="微软雅黑"/>
          <w:szCs w:val="21"/>
        </w:rPr>
        <w:t>。</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其中</w:t>
      </w:r>
      <w:r>
        <w:rPr>
          <w:rFonts w:hint="eastAsia" w:ascii="微软雅黑" w:hAnsi="微软雅黑" w:eastAsia="微软雅黑" w:cs="方正仿宋_GBK"/>
          <w:szCs w:val="21"/>
          <w:u w:val="single"/>
        </w:rPr>
        <w:t>91.88</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3室2厅2卫户型</w:t>
      </w:r>
      <w:r>
        <w:rPr>
          <w:rFonts w:hint="eastAsia" w:ascii="微软雅黑" w:hAnsi="微软雅黑" w:eastAsia="微软雅黑" w:cs="方正仿宋_GBK"/>
          <w:szCs w:val="21"/>
          <w:u w:val="single"/>
        </w:rPr>
        <w:t>64</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93.69</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3室2厅2卫户型</w:t>
      </w:r>
      <w:r>
        <w:rPr>
          <w:rFonts w:hint="eastAsia" w:ascii="微软雅黑" w:hAnsi="微软雅黑" w:eastAsia="微软雅黑" w:cs="方正仿宋_GBK"/>
          <w:szCs w:val="21"/>
          <w:u w:val="single"/>
        </w:rPr>
        <w:t>64</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93.84</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3室2厅2卫户型</w:t>
      </w:r>
      <w:r>
        <w:rPr>
          <w:rFonts w:hint="eastAsia" w:ascii="微软雅黑" w:hAnsi="微软雅黑" w:eastAsia="微软雅黑" w:cs="方正仿宋_GBK"/>
          <w:szCs w:val="21"/>
          <w:u w:val="single"/>
        </w:rPr>
        <w:t>64</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96.4</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3室2厅2卫户型</w:t>
      </w:r>
      <w:r>
        <w:rPr>
          <w:rFonts w:hint="eastAsia" w:ascii="微软雅黑" w:hAnsi="微软雅黑" w:eastAsia="微软雅黑" w:cs="方正仿宋_GBK"/>
          <w:szCs w:val="21"/>
          <w:u w:val="single"/>
        </w:rPr>
        <w:t>64</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106.86</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4室2厅2卫户型</w:t>
      </w:r>
      <w:r>
        <w:rPr>
          <w:rFonts w:hint="eastAsia" w:ascii="微软雅黑" w:hAnsi="微软雅黑" w:eastAsia="微软雅黑" w:cs="方正仿宋_GBK"/>
          <w:szCs w:val="21"/>
          <w:u w:val="single"/>
        </w:rPr>
        <w:t>32</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108.5</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4室2厅2卫户型</w:t>
      </w:r>
      <w:r>
        <w:rPr>
          <w:rFonts w:hint="eastAsia" w:ascii="微软雅黑" w:hAnsi="微软雅黑" w:eastAsia="微软雅黑" w:cs="方正仿宋_GBK"/>
          <w:szCs w:val="21"/>
          <w:u w:val="single"/>
        </w:rPr>
        <w:t>32</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113.47</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4室2厅2卫户型</w:t>
      </w:r>
      <w:r>
        <w:rPr>
          <w:rFonts w:hint="eastAsia" w:ascii="微软雅黑" w:hAnsi="微软雅黑" w:eastAsia="微软雅黑" w:cs="方正仿宋_GBK"/>
          <w:szCs w:val="21"/>
          <w:u w:val="single"/>
        </w:rPr>
        <w:t>64</w:t>
      </w:r>
      <w:r>
        <w:rPr>
          <w:rFonts w:hint="eastAsia" w:ascii="微软雅黑" w:hAnsi="微软雅黑" w:eastAsia="微软雅黑" w:cs="方正仿宋_GBK"/>
          <w:szCs w:val="21"/>
        </w:rPr>
        <w:t>套，</w:t>
      </w:r>
      <w:r>
        <w:rPr>
          <w:rFonts w:hint="eastAsia" w:ascii="微软雅黑" w:hAnsi="微软雅黑" w:eastAsia="微软雅黑" w:cs="方正仿宋_GBK"/>
          <w:szCs w:val="21"/>
          <w:u w:val="single"/>
        </w:rPr>
        <w:t>114.54</w:t>
      </w:r>
      <w:r>
        <w:rPr>
          <w:rFonts w:hint="eastAsia" w:ascii="Arial Unicode MS" w:hAnsi="Arial Unicode MS" w:eastAsia="Arial Unicode MS" w:cs="Arial Unicode MS"/>
          <w:szCs w:val="21"/>
          <w:u w:val="single"/>
        </w:rPr>
        <w:t>㎡</w:t>
      </w:r>
      <w:r>
        <w:rPr>
          <w:rFonts w:hint="eastAsia" w:ascii="微软雅黑" w:hAnsi="微软雅黑" w:eastAsia="微软雅黑" w:cs="方正仿宋_GBK"/>
          <w:szCs w:val="21"/>
        </w:rPr>
        <w:t>4室2厅2卫户型</w:t>
      </w:r>
      <w:r>
        <w:rPr>
          <w:rFonts w:hint="eastAsia" w:ascii="微软雅黑" w:hAnsi="微软雅黑" w:eastAsia="微软雅黑" w:cs="方正仿宋_GBK"/>
          <w:szCs w:val="21"/>
          <w:u w:val="single"/>
        </w:rPr>
        <w:t>64</w:t>
      </w:r>
      <w:r>
        <w:rPr>
          <w:rFonts w:hint="eastAsia" w:ascii="微软雅黑" w:hAnsi="微软雅黑" w:eastAsia="微软雅黑" w:cs="方正仿宋_GBK"/>
          <w:szCs w:val="21"/>
        </w:rPr>
        <w:t>套。</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上述房源中提供</w:t>
      </w:r>
      <w:r>
        <w:rPr>
          <w:rFonts w:hint="eastAsia" w:ascii="微软雅黑" w:hAnsi="微软雅黑" w:eastAsia="微软雅黑" w:cs="方正仿宋_GBK"/>
          <w:szCs w:val="21"/>
          <w:u w:val="single"/>
        </w:rPr>
        <w:t>45</w:t>
      </w:r>
      <w:r>
        <w:rPr>
          <w:rFonts w:hint="eastAsia" w:ascii="微软雅黑" w:hAnsi="微软雅黑" w:eastAsia="微软雅黑" w:cs="方正仿宋_GBK"/>
          <w:szCs w:val="21"/>
        </w:rPr>
        <w:t>套用于棚改货币化安置住户</w:t>
      </w:r>
      <w:r>
        <w:rPr>
          <w:rFonts w:hint="eastAsia" w:ascii="微软雅黑" w:hAnsi="微软雅黑" w:eastAsia="微软雅黑" w:cs="方正仿宋_GBK"/>
          <w:color w:val="000000" w:themeColor="text1"/>
          <w:szCs w:val="21"/>
          <w14:textFill>
            <w14:solidFill>
              <w14:schemeClr w14:val="tx1"/>
            </w14:solidFill>
          </w14:textFill>
        </w:rPr>
        <w:t>优先摇号、优先选房（若符合条件的</w:t>
      </w:r>
      <w:r>
        <w:rPr>
          <w:rFonts w:hint="eastAsia" w:ascii="微软雅黑" w:hAnsi="微软雅黑" w:eastAsia="微软雅黑" w:cs="方正仿宋_GBK"/>
          <w:szCs w:val="21"/>
        </w:rPr>
        <w:t>棚改货币化安置住户人数少于</w:t>
      </w:r>
      <w:r>
        <w:rPr>
          <w:rFonts w:hint="eastAsia" w:ascii="微软雅黑" w:hAnsi="微软雅黑" w:eastAsia="微软雅黑" w:cs="方正仿宋_GBK"/>
          <w:szCs w:val="21"/>
          <w:u w:val="single"/>
        </w:rPr>
        <w:t>45</w:t>
      </w:r>
      <w:r>
        <w:rPr>
          <w:rFonts w:hint="eastAsia" w:ascii="微软雅黑" w:hAnsi="微软雅黑" w:eastAsia="微软雅黑" w:cs="方正仿宋_GBK"/>
          <w:szCs w:val="21"/>
        </w:rPr>
        <w:t>，剩余房源统一纳入总房源，由</w:t>
      </w:r>
      <w:r>
        <w:rPr>
          <w:rFonts w:hint="eastAsia" w:ascii="微软雅黑" w:hAnsi="微软雅黑" w:eastAsia="微软雅黑" w:cs="微软雅黑"/>
          <w:szCs w:val="21"/>
          <w:shd w:val="clear" w:color="auto" w:fill="FFFFFF"/>
        </w:rPr>
        <w:t>普通登记购房人按摇号排序结果依序选房</w:t>
      </w:r>
      <w:r>
        <w:rPr>
          <w:rFonts w:hint="eastAsia" w:ascii="微软雅黑" w:hAnsi="微软雅黑" w:eastAsia="微软雅黑" w:cs="方正仿宋_GBK"/>
          <w:szCs w:val="21"/>
        </w:rPr>
        <w:t>）。</w:t>
      </w:r>
    </w:p>
    <w:p>
      <w:pPr>
        <w:ind w:firstLine="420" w:firstLineChars="200"/>
        <w:rPr>
          <w:rFonts w:ascii="微软雅黑" w:hAnsi="微软雅黑" w:eastAsia="微软雅黑" w:cs="方正黑体_GBK"/>
          <w:szCs w:val="21"/>
        </w:rPr>
      </w:pPr>
      <w:r>
        <w:rPr>
          <w:rFonts w:hint="eastAsia" w:ascii="微软雅黑" w:hAnsi="微软雅黑" w:eastAsia="微软雅黑" w:cs="方正黑体_GBK"/>
          <w:szCs w:val="21"/>
        </w:rPr>
        <w:t>二、支持棚改货币化安置住户优先摇号、优先选房</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（一）补偿协议生效后，未在我市住房限购区域内购买住房；</w:t>
      </w:r>
    </w:p>
    <w:p>
      <w:pPr>
        <w:adjustRightInd w:val="0"/>
        <w:spacing w:line="600" w:lineRule="exact"/>
        <w:ind w:firstLine="420" w:firstLineChars="200"/>
        <w:rPr>
          <w:rFonts w:ascii="微软雅黑" w:hAnsi="微软雅黑" w:eastAsia="微软雅黑" w:cs="方正仿宋_GBK"/>
          <w:szCs w:val="21"/>
        </w:rPr>
      </w:pPr>
      <w:r>
        <w:rPr>
          <w:rFonts w:hint="eastAsia" w:ascii="微软雅黑" w:hAnsi="微软雅黑" w:eastAsia="微软雅黑" w:cs="微软雅黑"/>
          <w:szCs w:val="21"/>
          <w:shd w:val="clear" w:color="auto" w:fill="FFFFFF"/>
        </w:rPr>
        <w:t>（二）补偿协议生效后，已在我市住房限购区域内购买住房，但购房日期为2017年3月24日之前，且所购房屋为二手住房。</w:t>
      </w:r>
    </w:p>
    <w:p>
      <w:pPr>
        <w:ind w:firstLine="420" w:firstLineChars="200"/>
        <w:rPr>
          <w:rFonts w:ascii="微软雅黑" w:hAnsi="微软雅黑" w:eastAsia="微软雅黑" w:cs="方正黑体_GBK"/>
          <w:szCs w:val="21"/>
        </w:rPr>
      </w:pPr>
      <w:r>
        <w:rPr>
          <w:rFonts w:hint="eastAsia" w:ascii="微软雅黑" w:hAnsi="微软雅黑" w:eastAsia="微软雅黑" w:cs="方正黑体_GBK"/>
          <w:szCs w:val="21"/>
        </w:rPr>
        <w:t>三、信息公示</w:t>
      </w:r>
    </w:p>
    <w:p>
      <w:pPr>
        <w:ind w:firstLine="411" w:firstLineChars="196"/>
        <w:rPr>
          <w:rFonts w:ascii="微软雅黑" w:hAnsi="微软雅黑" w:eastAsia="微软雅黑" w:cs="方正仿宋_GBK"/>
          <w:szCs w:val="21"/>
        </w:rPr>
      </w:pPr>
      <w:r>
        <w:rPr>
          <w:rFonts w:hint="eastAsia" w:ascii="微软雅黑" w:hAnsi="微软雅黑" w:eastAsia="微软雅黑" w:cs="方正楷体_GBK"/>
          <w:szCs w:val="21"/>
        </w:rPr>
        <w:t>（一）公告时间</w:t>
      </w:r>
      <w:r>
        <w:rPr>
          <w:rFonts w:hint="eastAsia" w:ascii="微软雅黑" w:hAnsi="微软雅黑" w:eastAsia="微软雅黑" w:cs="方正仿宋_GBK"/>
          <w:szCs w:val="21"/>
        </w:rPr>
        <w:t>：取得预售许可证</w:t>
      </w:r>
      <w:r>
        <w:rPr>
          <w:rFonts w:hint="eastAsia" w:ascii="微软雅黑" w:hAnsi="微软雅黑" w:eastAsia="微软雅黑" w:cs="方正仿宋_GBK"/>
          <w:szCs w:val="21"/>
          <w:u w:val="single"/>
        </w:rPr>
        <w:t>第2天</w:t>
      </w:r>
      <w:r>
        <w:rPr>
          <w:rFonts w:hint="eastAsia" w:ascii="微软雅黑" w:hAnsi="微软雅黑" w:eastAsia="微软雅黑" w:cs="方正仿宋_GBK"/>
          <w:szCs w:val="21"/>
        </w:rPr>
        <w:t>至开盘销售结束时止。</w:t>
      </w:r>
    </w:p>
    <w:p>
      <w:pPr>
        <w:ind w:firstLine="411" w:firstLineChars="196"/>
        <w:rPr>
          <w:rFonts w:ascii="微软雅黑" w:hAnsi="微软雅黑" w:eastAsia="微软雅黑" w:cs="方正仿宋_GBK"/>
          <w:szCs w:val="21"/>
          <w:u w:val="single"/>
        </w:rPr>
      </w:pPr>
      <w:r>
        <w:rPr>
          <w:rFonts w:hint="eastAsia" w:ascii="微软雅黑" w:hAnsi="微软雅黑" w:eastAsia="微软雅黑" w:cs="方正楷体_GBK"/>
          <w:szCs w:val="21"/>
        </w:rPr>
        <w:t>（二）公告地点：同森锦熙</w:t>
      </w:r>
      <w:r>
        <w:rPr>
          <w:rFonts w:hint="eastAsia" w:ascii="微软雅黑" w:hAnsi="微软雅黑" w:eastAsia="微软雅黑" w:cs="方正仿宋_GBK"/>
          <w:szCs w:val="21"/>
        </w:rPr>
        <w:t>销售中心现场或</w:t>
      </w:r>
      <w:r>
        <w:rPr>
          <w:rFonts w:hint="eastAsia" w:ascii="微软雅黑" w:hAnsi="微软雅黑" w:eastAsia="微软雅黑" w:cs="方正仿宋_GBK"/>
          <w:szCs w:val="21"/>
          <w:u w:val="single"/>
        </w:rPr>
        <w:t>微信公众号(</w:t>
      </w:r>
      <w:r>
        <w:rPr>
          <w:rFonts w:hint="eastAsia" w:ascii="微软雅黑" w:hAnsi="微软雅黑" w:eastAsia="微软雅黑" w:cs="方正仿宋_GBK"/>
          <w:szCs w:val="21"/>
          <w:u w:val="single"/>
          <w:lang w:val="en-US" w:eastAsia="zh-CN"/>
        </w:rPr>
        <w:t>tongsenjinxi</w:t>
      </w:r>
      <w:r>
        <w:rPr>
          <w:rFonts w:hint="eastAsia" w:ascii="微软雅黑" w:hAnsi="微软雅黑" w:eastAsia="微软雅黑" w:cs="方正仿宋_GBK"/>
          <w:szCs w:val="21"/>
          <w:u w:val="single"/>
        </w:rPr>
        <w:t>)。</w:t>
      </w:r>
    </w:p>
    <w:p>
      <w:pPr>
        <w:ind w:firstLine="645"/>
        <w:rPr>
          <w:rFonts w:ascii="微软雅黑" w:hAnsi="微软雅黑" w:eastAsia="微软雅黑" w:cs="方正楷体_GBK"/>
          <w:szCs w:val="21"/>
        </w:rPr>
      </w:pPr>
      <w:r>
        <w:rPr>
          <w:rFonts w:hint="eastAsia" w:ascii="微软雅黑" w:hAnsi="微软雅黑" w:eastAsia="微软雅黑" w:cs="方正楷体_GBK"/>
          <w:szCs w:val="21"/>
        </w:rPr>
        <w:t>（三）公示内容：</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1、商品房预售许可证(或现售备案)、购房登记规则、</w:t>
      </w:r>
      <w:r>
        <w:rPr>
          <w:rFonts w:hint="eastAsia" w:ascii="微软雅黑" w:hAnsi="微软雅黑" w:eastAsia="微软雅黑" w:cs="方正仿宋_GBK"/>
          <w:color w:val="000000" w:themeColor="text1"/>
          <w:szCs w:val="21"/>
          <w14:textFill>
            <w14:solidFill>
              <w14:schemeClr w14:val="tx1"/>
            </w14:solidFill>
          </w14:textFill>
        </w:rPr>
        <w:t>按序选房规则</w:t>
      </w:r>
      <w:r>
        <w:rPr>
          <w:rFonts w:hint="eastAsia" w:ascii="微软雅黑" w:hAnsi="微软雅黑" w:eastAsia="微软雅黑" w:cs="方正仿宋_GBK"/>
          <w:szCs w:val="21"/>
        </w:rPr>
        <w:t>、商品房销售方案；</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2、全部准售房源（含户型）、包括明确用于棚改货币化安置住户优先摇号选购的套数，按申报价格对每套房源明码标价（含装修的，分别标明房屋申报价格和经核查的装修工程价格）；</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3、网上登记时间、现场核验购房资格的地址、时间及注意事项；</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4、摇号和排序结果公布时间、选房时间等规定的内容。</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5、公证机构受理摇号排序选房公证的说明（包括公证机构名称、公证内容等）；</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6、商品住房开盘销售公证摇号选购流程；</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7、其他按规定应公示的内容（如商品住房位于我市住房限购区域的，还应公示相关房地产市场调控政策文件）。</w:t>
      </w:r>
    </w:p>
    <w:p>
      <w:pPr>
        <w:ind w:firstLine="420" w:firstLineChars="200"/>
        <w:rPr>
          <w:rFonts w:ascii="微软雅黑" w:hAnsi="微软雅黑" w:eastAsia="微软雅黑" w:cs="方正黑体_GBK"/>
          <w:szCs w:val="21"/>
        </w:rPr>
      </w:pPr>
      <w:r>
        <w:rPr>
          <w:rFonts w:hint="eastAsia" w:ascii="微软雅黑" w:hAnsi="微软雅黑" w:eastAsia="微软雅黑" w:cs="方正黑体_GBK"/>
          <w:szCs w:val="21"/>
        </w:rPr>
        <w:t>四、网上登记</w:t>
      </w:r>
    </w:p>
    <w:p>
      <w:pPr>
        <w:ind w:firstLine="420" w:firstLineChars="200"/>
        <w:rPr>
          <w:rFonts w:ascii="微软雅黑" w:hAnsi="微软雅黑" w:eastAsia="微软雅黑" w:cs="方正仿宋_GBK"/>
          <w:szCs w:val="21"/>
          <w:u w:val="single"/>
        </w:rPr>
      </w:pPr>
      <w:r>
        <w:rPr>
          <w:rFonts w:hint="eastAsia" w:ascii="微软雅黑" w:hAnsi="微软雅黑" w:eastAsia="微软雅黑" w:cs="方正楷体_GBK"/>
          <w:color w:val="000000" w:themeColor="text1"/>
          <w:szCs w:val="21"/>
          <w14:textFill>
            <w14:solidFill>
              <w14:schemeClr w14:val="tx1"/>
            </w14:solidFill>
          </w14:textFill>
        </w:rPr>
        <w:t>（一）登记时间：</w:t>
      </w:r>
      <w:r>
        <w:rPr>
          <w:rFonts w:hint="eastAsia" w:ascii="微软雅黑" w:hAnsi="微软雅黑" w:eastAsia="微软雅黑" w:cs="方正仿宋_GBK"/>
          <w:color w:val="000000" w:themeColor="text1"/>
          <w:szCs w:val="21"/>
          <w14:textFill>
            <w14:solidFill>
              <w14:schemeClr w14:val="tx1"/>
            </w14:solidFill>
          </w14:textFill>
        </w:rPr>
        <w:t>取得预售许可证</w:t>
      </w:r>
      <w:r>
        <w:rPr>
          <w:rFonts w:hint="eastAsia" w:ascii="微软雅黑" w:hAnsi="微软雅黑" w:eastAsia="微软雅黑" w:cs="方正仿宋_GBK"/>
          <w:color w:val="000000" w:themeColor="text1"/>
          <w:szCs w:val="21"/>
          <w:u w:val="single"/>
          <w14:textFill>
            <w14:solidFill>
              <w14:schemeClr w14:val="tx1"/>
            </w14:solidFill>
          </w14:textFill>
        </w:rPr>
        <w:t>第</w:t>
      </w:r>
      <w:r>
        <w:rPr>
          <w:rFonts w:ascii="微软雅黑" w:hAnsi="微软雅黑" w:eastAsia="微软雅黑" w:cs="方正仿宋_GBK"/>
          <w:color w:val="000000" w:themeColor="text1"/>
          <w:szCs w:val="21"/>
          <w:u w:val="single"/>
          <w14:textFill>
            <w14:solidFill>
              <w14:schemeClr w14:val="tx1"/>
            </w14:solidFill>
          </w14:textFill>
        </w:rPr>
        <w:t>2</w:t>
      </w:r>
      <w:r>
        <w:rPr>
          <w:rFonts w:hint="eastAsia" w:ascii="微软雅黑" w:hAnsi="微软雅黑" w:eastAsia="微软雅黑" w:cs="方正仿宋_GBK"/>
          <w:color w:val="000000" w:themeColor="text1"/>
          <w:szCs w:val="21"/>
          <w:u w:val="single"/>
          <w14:textFill>
            <w14:solidFill>
              <w14:schemeClr w14:val="tx1"/>
            </w14:solidFill>
          </w14:textFill>
        </w:rPr>
        <w:t>-</w:t>
      </w:r>
      <w:r>
        <w:rPr>
          <w:rFonts w:ascii="微软雅黑" w:hAnsi="微软雅黑" w:eastAsia="微软雅黑" w:cs="方正仿宋_GBK"/>
          <w:color w:val="000000" w:themeColor="text1"/>
          <w:szCs w:val="21"/>
          <w:u w:val="single"/>
          <w14:textFill>
            <w14:solidFill>
              <w14:schemeClr w14:val="tx1"/>
            </w14:solidFill>
          </w14:textFill>
        </w:rPr>
        <w:t>4</w:t>
      </w:r>
      <w:r>
        <w:rPr>
          <w:rFonts w:hint="eastAsia" w:ascii="微软雅黑" w:hAnsi="微软雅黑" w:eastAsia="微软雅黑" w:cs="方正仿宋_GBK"/>
          <w:color w:val="000000" w:themeColor="text1"/>
          <w:szCs w:val="21"/>
          <w:u w:val="single"/>
          <w14:textFill>
            <w14:solidFill>
              <w14:schemeClr w14:val="tx1"/>
            </w14:solidFill>
          </w14:textFill>
        </w:rPr>
        <w:t>天</w:t>
      </w:r>
      <w:r>
        <w:rPr>
          <w:rFonts w:hint="eastAsia" w:ascii="微软雅黑" w:hAnsi="微软雅黑" w:eastAsia="微软雅黑" w:cs="方正仿宋_GBK"/>
          <w:color w:val="000000" w:themeColor="text1"/>
          <w:szCs w:val="21"/>
          <w14:textFill>
            <w14:solidFill>
              <w14:schemeClr w14:val="tx1"/>
            </w14:solidFill>
          </w14:textFill>
        </w:rPr>
        <w:t>（每天9：00-18:00）。</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方正楷体_GBK"/>
          <w:szCs w:val="21"/>
        </w:rPr>
        <w:t>（二）登记方式：</w:t>
      </w:r>
      <w:r>
        <w:rPr>
          <w:rFonts w:hint="eastAsia" w:ascii="微软雅黑" w:hAnsi="微软雅黑" w:eastAsia="微软雅黑" w:cs="方正仿宋_GBK"/>
          <w:szCs w:val="21"/>
        </w:rPr>
        <w:t>登记购房人按我公司公示的时间，自行登陆成都住宅与房地产业协会网站（www.cdfangxie.com），按要求在商品住房购房登记平台填报信息，</w:t>
      </w:r>
      <w:r>
        <w:rPr>
          <w:rFonts w:hint="eastAsia" w:ascii="微软雅黑" w:hAnsi="微软雅黑" w:eastAsia="微软雅黑" w:cs="微软雅黑"/>
          <w:szCs w:val="21"/>
          <w:shd w:val="clear" w:color="auto" w:fill="FFFFFF"/>
        </w:rPr>
        <w:t>购房登记平台确认信息后，自动生成购房登记号。</w:t>
      </w:r>
    </w:p>
    <w:p>
      <w:pPr>
        <w:ind w:firstLine="420" w:firstLineChars="200"/>
        <w:rPr>
          <w:rFonts w:ascii="微软雅黑" w:hAnsi="微软雅黑" w:eastAsia="微软雅黑" w:cs="方正仿宋_GBK"/>
          <w:szCs w:val="21"/>
        </w:rPr>
      </w:pPr>
      <w:r>
        <w:rPr>
          <w:rFonts w:hint="eastAsia" w:ascii="微软雅黑" w:hAnsi="微软雅黑" w:eastAsia="微软雅黑" w:cs="微软雅黑"/>
          <w:szCs w:val="21"/>
          <w:shd w:val="clear" w:color="auto" w:fill="FFFFFF"/>
        </w:rPr>
        <w:t>注意：未在网上实名登记但要求现场购房登记或核验购房资格的，我公司将不予受理。</w:t>
      </w:r>
    </w:p>
    <w:p>
      <w:pPr>
        <w:ind w:firstLine="420" w:firstLineChars="200"/>
        <w:rPr>
          <w:rFonts w:ascii="微软雅黑" w:hAnsi="微软雅黑" w:eastAsia="微软雅黑" w:cs="方正黑体_GBK"/>
          <w:szCs w:val="21"/>
        </w:rPr>
      </w:pPr>
      <w:r>
        <w:rPr>
          <w:rFonts w:hint="eastAsia" w:ascii="微软雅黑" w:hAnsi="微软雅黑" w:eastAsia="微软雅黑" w:cs="方正黑体_GBK"/>
          <w:szCs w:val="21"/>
        </w:rPr>
        <w:t>五、核验购房资格</w:t>
      </w:r>
    </w:p>
    <w:p>
      <w:pPr>
        <w:ind w:firstLine="645"/>
        <w:rPr>
          <w:rFonts w:ascii="微软雅黑" w:hAnsi="微软雅黑" w:eastAsia="微软雅黑" w:cs="方正仿宋_GBK"/>
          <w:szCs w:val="21"/>
          <w:u w:val="single"/>
        </w:rPr>
      </w:pPr>
      <w:r>
        <w:rPr>
          <w:rFonts w:hint="eastAsia" w:ascii="微软雅黑" w:hAnsi="微软雅黑" w:eastAsia="微软雅黑" w:cs="方正楷体_GBK"/>
          <w:szCs w:val="21"/>
        </w:rPr>
        <w:t>（一）资格核验时间。</w:t>
      </w:r>
      <w:r>
        <w:rPr>
          <w:rFonts w:hint="eastAsia" w:ascii="微软雅黑" w:hAnsi="微软雅黑" w:eastAsia="微软雅黑" w:cs="方正仿宋_GBK"/>
          <w:szCs w:val="21"/>
        </w:rPr>
        <w:t>取得预售许可证后</w:t>
      </w:r>
      <w:r>
        <w:rPr>
          <w:rFonts w:hint="eastAsia" w:ascii="微软雅黑" w:hAnsi="微软雅黑" w:eastAsia="微软雅黑" w:cs="方正仿宋_GBK"/>
          <w:szCs w:val="21"/>
          <w:u w:val="single"/>
        </w:rPr>
        <w:t>第</w:t>
      </w:r>
      <w:r>
        <w:rPr>
          <w:rFonts w:ascii="微软雅黑" w:hAnsi="微软雅黑" w:eastAsia="微软雅黑" w:cs="方正仿宋_GBK"/>
          <w:szCs w:val="21"/>
          <w:u w:val="single"/>
        </w:rPr>
        <w:t>3</w:t>
      </w:r>
      <w:r>
        <w:rPr>
          <w:rFonts w:hint="eastAsia" w:ascii="微软雅黑" w:hAnsi="微软雅黑" w:eastAsia="微软雅黑" w:cs="方正仿宋_GBK"/>
          <w:szCs w:val="21"/>
          <w:u w:val="single"/>
        </w:rPr>
        <w:t>天至核验完成。</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（二）</w:t>
      </w:r>
      <w:r>
        <w:rPr>
          <w:rFonts w:hint="eastAsia" w:ascii="微软雅黑" w:hAnsi="微软雅黑" w:eastAsia="微软雅黑" w:cs="方正楷体_GBK"/>
          <w:szCs w:val="21"/>
        </w:rPr>
        <w:t>资格核验地点。</w:t>
      </w:r>
      <w:r>
        <w:rPr>
          <w:rFonts w:hint="eastAsia" w:ascii="微软雅黑" w:hAnsi="微软雅黑" w:eastAsia="微软雅黑" w:cs="方正仿宋_GBK"/>
          <w:szCs w:val="21"/>
        </w:rPr>
        <w:t>请登记购房人按我公司电话</w:t>
      </w:r>
      <w:r>
        <w:rPr>
          <w:rFonts w:hint="eastAsia" w:ascii="微软雅黑" w:hAnsi="微软雅黑" w:eastAsia="微软雅黑" w:cs="方正仿宋_GBK"/>
          <w:szCs w:val="21"/>
          <w:lang w:val="en-US" w:eastAsia="zh-CN"/>
        </w:rPr>
        <w:t>(85809000)</w:t>
      </w:r>
      <w:r>
        <w:rPr>
          <w:rFonts w:hint="eastAsia" w:ascii="微软雅黑" w:hAnsi="微软雅黑" w:eastAsia="微软雅黑" w:cs="方正仿宋_GBK"/>
          <w:szCs w:val="21"/>
        </w:rPr>
        <w:t>或短信通知的时间，到同森锦熙销售中心提交需核验的资料（资格核验现场布置图见附件）。</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注意：登记购房人在我公司通知的时间内未提交材料或未通过资格核验的视为无效登记。无效登记的将通过电话、短信通知、签字确认等方式告知登记购房人。</w:t>
      </w:r>
    </w:p>
    <w:p>
      <w:pPr>
        <w:ind w:firstLine="420" w:firstLineChars="200"/>
        <w:rPr>
          <w:rFonts w:ascii="微软雅黑" w:hAnsi="微软雅黑" w:eastAsia="微软雅黑" w:cs="方正仿宋_GBK"/>
          <w:szCs w:val="21"/>
        </w:rPr>
      </w:pPr>
      <w:r>
        <w:rPr>
          <w:rFonts w:hint="eastAsia" w:ascii="微软雅黑" w:hAnsi="微软雅黑" w:eastAsia="微软雅黑" w:cs="方正楷体_GBK"/>
          <w:szCs w:val="21"/>
        </w:rPr>
        <w:t>（三）购房资格材料。</w:t>
      </w:r>
      <w:r>
        <w:rPr>
          <w:rFonts w:hint="eastAsia" w:ascii="微软雅黑" w:hAnsi="微软雅黑" w:eastAsia="微软雅黑" w:cs="方正仿宋_GBK"/>
          <w:szCs w:val="21"/>
        </w:rPr>
        <w:t>请网上登记成功的购房人按照我公司通知的时间，分批次分时段至</w:t>
      </w:r>
      <w:r>
        <w:rPr>
          <w:rFonts w:hint="eastAsia" w:ascii="微软雅黑" w:hAnsi="微软雅黑" w:eastAsia="微软雅黑" w:cs="方正仿宋_GBK"/>
          <w:szCs w:val="21"/>
          <w:u w:val="single"/>
        </w:rPr>
        <w:t>同森锦熙销售中心</w:t>
      </w:r>
      <w:r>
        <w:rPr>
          <w:rFonts w:hint="eastAsia" w:ascii="微软雅黑" w:hAnsi="微软雅黑" w:eastAsia="微软雅黑" w:cs="方正仿宋_GBK"/>
          <w:szCs w:val="21"/>
        </w:rPr>
        <w:t>提交下列购房资格材料：</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1.登记购房人的身份证明（核原件收复印件）；</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微软雅黑" w:hAnsi="微软雅黑" w:eastAsia="微软雅黑" w:cs="微软雅黑"/>
          <w:szCs w:val="21"/>
          <w:shd w:val="clear" w:color="auto" w:fill="FFFFFF"/>
        </w:rPr>
        <w:t>首付款按四川省商业性个人住房贷款最低首付款比例确定</w:t>
      </w:r>
      <w:r>
        <w:rPr>
          <w:rFonts w:hint="eastAsia" w:ascii="微软雅黑" w:hAnsi="微软雅黑" w:eastAsia="微软雅黑" w:cs="方正仿宋_GBK"/>
          <w:szCs w:val="21"/>
        </w:rPr>
        <w:t>，最终以按揭银行审定的结果为准）；</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3.如登记购房人委托他人提交相关核验资料的，需核验委托书、委托人和受委托人的身份证明等资料；</w:t>
      </w:r>
    </w:p>
    <w:p>
      <w:pPr>
        <w:adjustRightInd w:val="0"/>
        <w:spacing w:line="600" w:lineRule="exact"/>
        <w:ind w:firstLine="420" w:firstLineChars="200"/>
        <w:rPr>
          <w:rFonts w:ascii="微软雅黑" w:hAnsi="微软雅黑" w:eastAsia="微软雅黑" w:cs="微软雅黑"/>
          <w:szCs w:val="21"/>
          <w:u w:val="single"/>
          <w:shd w:val="clear" w:color="auto" w:fill="FFFFFF"/>
        </w:rPr>
      </w:pPr>
      <w:r>
        <w:rPr>
          <w:rFonts w:hint="eastAsia" w:ascii="微软雅黑" w:hAnsi="微软雅黑" w:eastAsia="微软雅黑" w:cs="微软雅黑"/>
          <w:szCs w:val="21"/>
          <w:shd w:val="clear" w:color="auto" w:fill="FFFFFF"/>
        </w:rPr>
        <w:t>4.登记购房人为棚改货币化安置住户的，需核验登记购房人通过成都市房屋征收系统打印</w:t>
      </w:r>
      <w:bookmarkStart w:id="0" w:name="_Hlk503000797"/>
      <w:r>
        <w:rPr>
          <w:rFonts w:hint="eastAsia" w:ascii="微软雅黑" w:hAnsi="微软雅黑" w:eastAsia="微软雅黑" w:cs="微软雅黑"/>
          <w:b/>
          <w:szCs w:val="21"/>
          <w:shd w:val="clear" w:color="auto" w:fill="FFFFFF"/>
        </w:rPr>
        <w:t>并经棚改实施单位加盖公章</w:t>
      </w:r>
      <w:bookmarkEnd w:id="0"/>
      <w:r>
        <w:rPr>
          <w:rFonts w:hint="eastAsia" w:ascii="微软雅黑" w:hAnsi="微软雅黑" w:eastAsia="微软雅黑" w:cs="微软雅黑"/>
          <w:szCs w:val="21"/>
          <w:shd w:val="clear" w:color="auto" w:fill="FFFFFF"/>
        </w:rPr>
        <w:t>的《成都市国有土地上房屋征收补偿安置合同备案表》（货币补偿），打印地点:</w:t>
      </w:r>
      <w:r>
        <w:rPr>
          <w:rFonts w:hint="eastAsia" w:ascii="微软雅黑" w:hAnsi="微软雅黑" w:eastAsia="微软雅黑" w:cs="微软雅黑"/>
          <w:szCs w:val="21"/>
          <w:u w:val="single"/>
          <w:shd w:val="clear" w:color="auto" w:fill="FFFFFF"/>
        </w:rPr>
        <w:t>郫都区房管局征收办（郫筒镇南苑巷66号，咨询电话:028-69505700）；</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5.由于我公司该项目位于我市住房限购区域，因此还需核验：</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（1）登记购房人的户籍证明或登记购房人社保缴纳明细、稳定就业证明（加盖就业单位公章，参考样式见附件2）；</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（2）重大招商引资项目和机关企事业单位引进的高端人才（含紧缺人才），需核验登记购房人身份证明和区政府（或管委会）等出具的证明或人才绿卡；</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（3）部队所在地在我市住房限购区域的现役军人，需核验其部队团级以上单位开具部队驻扎地在成都限购区域的证明。</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六、购房资格核验结果反馈和资料保存</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（二）资料保存。我公司将妥善保存已核验的购房资格资料，并将《棚改住户登记购房名册》和《普通登记购房人名册》报送郫都区房产管理局，包括汇总的初始名册和复核后的名册。</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七、购房资格复核</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（一）资格复核时间。取得预售许可证后第</w:t>
      </w:r>
      <w:r>
        <w:rPr>
          <w:rFonts w:ascii="微软雅黑" w:hAnsi="微软雅黑" w:eastAsia="微软雅黑" w:cs="方正仿宋_GBK"/>
          <w:szCs w:val="21"/>
        </w:rPr>
        <w:t>4</w:t>
      </w:r>
      <w:r>
        <w:rPr>
          <w:rFonts w:hint="eastAsia" w:ascii="微软雅黑" w:hAnsi="微软雅黑" w:eastAsia="微软雅黑" w:cs="方正仿宋_GBK"/>
          <w:szCs w:val="21"/>
        </w:rPr>
        <w:t>天至复核完毕。</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（二）复核部门。我公司对登记购房人提交资料的完整性予以初核，资料齐备并完整的报郫都区房产管理局复核。</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八、证据保全公证</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购房资格复核工作完成后，我公司将及时将《棚改住户登记购房名册》和《普通登记购房人名册》报公证机构予以公证证据保全，包括汇总的初始名册和复核后的名册。</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九、名册公示</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（一）公示时间：公证摇号前3日至选房结束。</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（二）公示地点：销售中心现场、微信公众号(</w:t>
      </w:r>
      <w:r>
        <w:rPr>
          <w:rFonts w:hint="eastAsia" w:ascii="微软雅黑" w:hAnsi="微软雅黑" w:eastAsia="微软雅黑" w:cs="方正仿宋_GBK"/>
          <w:szCs w:val="21"/>
          <w:lang w:val="en-US" w:eastAsia="zh-CN"/>
        </w:rPr>
        <w:t>tongsenjinxi</w:t>
      </w:r>
      <w:r>
        <w:rPr>
          <w:rFonts w:hint="eastAsia" w:ascii="微软雅黑" w:hAnsi="微软雅黑" w:eastAsia="微软雅黑" w:cs="方正仿宋_GBK"/>
          <w:szCs w:val="21"/>
        </w:rPr>
        <w:t>)。</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（三）公示内容：《棚改住户登记购房名册》和《普通登记购房人名册》，包括汇总的初始名册和核验或复核后的名册(将姓做隐藏处理，将身份证中出生年月日或其他证件后4位做隐藏处理)。</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（四）异议处理：在公示期内，若购房人对公示名单有异议的，</w:t>
      </w:r>
      <w:r>
        <w:rPr>
          <w:rFonts w:hint="eastAsia" w:ascii="微软雅黑" w:hAnsi="微软雅黑" w:eastAsia="微软雅黑" w:cs="方正仿宋_GBK"/>
          <w:szCs w:val="21"/>
          <w:lang w:val="en-US" w:eastAsia="zh-CN"/>
        </w:rPr>
        <w:t>可以向</w:t>
      </w:r>
      <w:r>
        <w:rPr>
          <w:rFonts w:hint="eastAsia" w:ascii="微软雅黑" w:hAnsi="微软雅黑" w:eastAsia="微软雅黑" w:cs="方正仿宋_GBK"/>
          <w:szCs w:val="21"/>
        </w:rPr>
        <w:t>四川省成都市律政公证处（联系电话028-</w:t>
      </w:r>
      <w:r>
        <w:rPr>
          <w:rFonts w:hint="eastAsia" w:ascii="微软雅黑" w:hAnsi="微软雅黑" w:eastAsia="微软雅黑" w:cs="方正仿宋_GBK"/>
          <w:szCs w:val="21"/>
          <w:lang w:val="en-US" w:eastAsia="zh-CN"/>
        </w:rPr>
        <w:t>86252017</w:t>
      </w:r>
      <w:r>
        <w:rPr>
          <w:rFonts w:hint="eastAsia" w:ascii="微软雅黑" w:hAnsi="微软雅黑" w:eastAsia="微软雅黑" w:cs="方正仿宋_GBK"/>
          <w:szCs w:val="21"/>
        </w:rPr>
        <w:t>）提出异议，或向我公司（联系电话028-85809000）、郫都区房产管理局（联系电话028-</w:t>
      </w:r>
      <w:r>
        <w:rPr>
          <w:rFonts w:ascii="微软雅黑" w:hAnsi="微软雅黑" w:eastAsia="微软雅黑" w:cs="方正仿宋_GBK"/>
          <w:szCs w:val="21"/>
        </w:rPr>
        <w:t xml:space="preserve"> 87887212</w:t>
      </w:r>
      <w:r>
        <w:rPr>
          <w:rFonts w:hint="eastAsia" w:ascii="微软雅黑" w:hAnsi="微软雅黑" w:eastAsia="微软雅黑" w:cs="方正仿宋_GBK"/>
          <w:szCs w:val="21"/>
        </w:rPr>
        <w:t>）进行核实。</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十、注意事项</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（三）举报电话。如果您发现我公司或委托的中介机构有下列行为的，请及时向我公司客服部门或房产行政主管部门举报：</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1.设置仅有利于房地产开发企业或中介机构内部、全款支付等部分购房人的登记条件；</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2.设置捆绑销售、挂牌价外收费等不利于购房人的登记条件；</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3.公司员工或委托机构员工强制或私自收取排号费，渠道费，诚意金或其他预订款性质费用；</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4.提供或协助登记购房人出具虚假购房资格材料；</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5.要求登记购房人到指定的银行打印银行存单或账户交易明细；</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6.要求登记购房人打印的银行存单或账户交易明细等高于意向房源首付款；</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7.对符合登记条件的意向购房人不予登记；</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8.其他违法违规行为。</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四川林氏企业投资管理有限公司客服部门举报电话:028-85809000</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郫都区房管局举报电话：028-879</w:t>
      </w:r>
      <w:r>
        <w:rPr>
          <w:rFonts w:hint="eastAsia" w:ascii="微软雅黑" w:hAnsi="微软雅黑" w:eastAsia="微软雅黑" w:cs="方正仿宋_GBK"/>
          <w:szCs w:val="21"/>
          <w:lang w:val="en-US" w:eastAsia="zh-CN"/>
        </w:rPr>
        <w:t>00308</w:t>
      </w:r>
      <w:r>
        <w:rPr>
          <w:rFonts w:hint="eastAsia" w:ascii="微软雅黑" w:hAnsi="微软雅黑" w:eastAsia="微软雅黑" w:cs="方正仿宋_GBK"/>
          <w:szCs w:val="21"/>
        </w:rPr>
        <w:t>。</w:t>
      </w:r>
    </w:p>
    <w:p>
      <w:pPr>
        <w:ind w:firstLine="420" w:firstLineChars="200"/>
        <w:rPr>
          <w:rFonts w:ascii="微软雅黑" w:hAnsi="微软雅黑" w:eastAsia="微软雅黑" w:cs="方正仿宋_GBK"/>
          <w:color w:val="000000" w:themeColor="text1"/>
          <w:szCs w:val="21"/>
          <w14:textFill>
            <w14:solidFill>
              <w14:schemeClr w14:val="tx1"/>
            </w14:solidFill>
          </w14:textFill>
        </w:rPr>
      </w:pP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附件：</w:t>
      </w:r>
      <w:r>
        <w:rPr>
          <w:rFonts w:ascii="微软雅黑" w:hAnsi="微软雅黑" w:eastAsia="微软雅黑" w:cs="方正仿宋_GBK"/>
          <w:szCs w:val="21"/>
        </w:rPr>
        <w:t>1.</w:t>
      </w:r>
      <w:r>
        <w:rPr>
          <w:rFonts w:hint="eastAsia" w:ascii="微软雅黑" w:hAnsi="微软雅黑" w:eastAsia="微软雅黑" w:cs="方正仿宋_GBK"/>
          <w:szCs w:val="21"/>
        </w:rPr>
        <w:t>资格核验现场布置图</w:t>
      </w:r>
    </w:p>
    <w:p>
      <w:pPr>
        <w:ind w:firstLine="840" w:firstLineChars="400"/>
        <w:rPr>
          <w:rFonts w:ascii="微软雅黑" w:hAnsi="微软雅黑" w:eastAsia="微软雅黑" w:cs="方正仿宋_GBK"/>
          <w:szCs w:val="21"/>
        </w:rPr>
      </w:pPr>
      <w:r>
        <w:rPr>
          <w:rFonts w:ascii="微软雅黑" w:hAnsi="微软雅黑" w:eastAsia="微软雅黑" w:cs="方正仿宋_GBK"/>
          <w:szCs w:val="21"/>
        </w:rPr>
        <w:t xml:space="preserve">  2.</w:t>
      </w:r>
      <w:r>
        <w:rPr>
          <w:rFonts w:hint="eastAsia" w:ascii="微软雅黑" w:hAnsi="微软雅黑" w:eastAsia="微软雅黑" w:cs="方正仿宋_GBK"/>
          <w:szCs w:val="21"/>
        </w:rPr>
        <w:t>稳定就业证明</w:t>
      </w:r>
    </w:p>
    <w:p>
      <w:pPr>
        <w:ind w:firstLine="1050" w:firstLineChars="500"/>
        <w:rPr>
          <w:rFonts w:ascii="微软雅黑" w:hAnsi="微软雅黑" w:eastAsia="微软雅黑" w:cs="方正仿宋_GBK"/>
          <w:szCs w:val="21"/>
        </w:rPr>
      </w:pPr>
      <w:r>
        <w:rPr>
          <w:rFonts w:ascii="微软雅黑" w:hAnsi="微软雅黑" w:eastAsia="微软雅黑" w:cs="方正仿宋_GBK"/>
          <w:szCs w:val="21"/>
        </w:rPr>
        <w:t>3</w:t>
      </w:r>
      <w:r>
        <w:rPr>
          <w:rFonts w:hint="eastAsia" w:ascii="微软雅黑" w:hAnsi="微软雅黑" w:eastAsia="微软雅黑" w:cs="方正仿宋_GBK"/>
          <w:szCs w:val="21"/>
        </w:rPr>
        <w:t>.购房资格现场核验应急处置预案</w:t>
      </w:r>
    </w:p>
    <w:p>
      <w:pPr>
        <w:rPr>
          <w:rFonts w:ascii="微软雅黑" w:hAnsi="微软雅黑" w:eastAsia="微软雅黑" w:cs="方正仿宋_GBK"/>
          <w:szCs w:val="21"/>
        </w:rPr>
      </w:pPr>
    </w:p>
    <w:p>
      <w:pPr>
        <w:jc w:val="right"/>
        <w:rPr>
          <w:rFonts w:ascii="微软雅黑" w:hAnsi="微软雅黑" w:eastAsia="微软雅黑" w:cs="方正仿宋_GBK"/>
          <w:szCs w:val="21"/>
        </w:rPr>
      </w:pPr>
      <w:r>
        <w:rPr>
          <w:rFonts w:hint="eastAsia" w:ascii="微软雅黑" w:hAnsi="微软雅黑" w:eastAsia="微软雅黑" w:cs="方正仿宋_GBK"/>
          <w:szCs w:val="21"/>
        </w:rPr>
        <w:t>四川林氏企业投资管理有限公司</w:t>
      </w:r>
    </w:p>
    <w:p>
      <w:pPr>
        <w:jc w:val="right"/>
        <w:rPr>
          <w:rFonts w:ascii="微软雅黑" w:hAnsi="微软雅黑" w:eastAsia="微软雅黑" w:cs="方正仿宋_GBK"/>
          <w:szCs w:val="21"/>
        </w:rPr>
      </w:pPr>
      <w:r>
        <w:rPr>
          <w:rFonts w:hint="eastAsia" w:ascii="微软雅黑" w:hAnsi="微软雅黑" w:eastAsia="微软雅黑" w:cs="方正仿宋_GBK"/>
          <w:szCs w:val="21"/>
        </w:rPr>
        <w:t xml:space="preserve">                     201</w:t>
      </w:r>
      <w:r>
        <w:rPr>
          <w:rFonts w:ascii="微软雅黑" w:hAnsi="微软雅黑" w:eastAsia="微软雅黑" w:cs="方正仿宋_GBK"/>
          <w:szCs w:val="21"/>
        </w:rPr>
        <w:t>8</w:t>
      </w:r>
      <w:r>
        <w:rPr>
          <w:rFonts w:hint="eastAsia" w:ascii="微软雅黑" w:hAnsi="微软雅黑" w:eastAsia="微软雅黑" w:cs="方正仿宋_GBK"/>
          <w:szCs w:val="21"/>
        </w:rPr>
        <w:t>年1月</w:t>
      </w:r>
      <w:r>
        <w:rPr>
          <w:rFonts w:hint="eastAsia" w:ascii="微软雅黑" w:hAnsi="微软雅黑" w:eastAsia="微软雅黑" w:cs="方正仿宋_GBK"/>
          <w:szCs w:val="21"/>
          <w:lang w:val="en-US" w:eastAsia="zh-CN"/>
        </w:rPr>
        <w:t>1</w:t>
      </w:r>
      <w:r>
        <w:rPr>
          <w:rFonts w:ascii="微软雅黑" w:hAnsi="微软雅黑" w:eastAsia="微软雅黑" w:cs="方正仿宋_GBK"/>
          <w:szCs w:val="21"/>
        </w:rPr>
        <w:t>6</w:t>
      </w:r>
      <w:r>
        <w:rPr>
          <w:rFonts w:hint="eastAsia" w:ascii="微软雅黑" w:hAnsi="微软雅黑" w:eastAsia="微软雅黑" w:cs="方正仿宋_GBK"/>
          <w:szCs w:val="21"/>
        </w:rPr>
        <w:t>日</w:t>
      </w: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r>
        <w:rPr>
          <w:rFonts w:hint="eastAsia" w:ascii="微软雅黑" w:hAnsi="微软雅黑" w:eastAsia="微软雅黑" w:cs="方正仿宋_GBK"/>
          <w:szCs w:val="21"/>
        </w:rPr>
        <w:t>附件1：资格核验现场布置图</w:t>
      </w:r>
    </w:p>
    <w:p>
      <w:pPr>
        <w:rPr>
          <w:rFonts w:ascii="微软雅黑" w:hAnsi="微软雅黑" w:eastAsia="微软雅黑" w:cs="方正仿宋_GBK"/>
          <w:szCs w:val="21"/>
        </w:rPr>
      </w:pPr>
      <w:r>
        <w:drawing>
          <wp:inline distT="0" distB="0" distL="0" distR="0">
            <wp:extent cx="5274310" cy="3376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376930"/>
                    </a:xfrm>
                    <a:prstGeom prst="rect">
                      <a:avLst/>
                    </a:prstGeom>
                  </pic:spPr>
                </pic:pic>
              </a:graphicData>
            </a:graphic>
          </wp:inline>
        </w:drawing>
      </w:r>
    </w:p>
    <w:p>
      <w:pPr>
        <w:ind w:right="320"/>
        <w:jc w:val="right"/>
        <w:rPr>
          <w:rFonts w:ascii="微软雅黑" w:hAnsi="微软雅黑" w:eastAsia="微软雅黑" w:cs="方正仿宋_GBK"/>
          <w:szCs w:val="21"/>
        </w:rPr>
      </w:pPr>
    </w:p>
    <w:p>
      <w:pPr>
        <w:ind w:right="320"/>
        <w:jc w:val="right"/>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cs="方正仿宋_GBK"/>
          <w:szCs w:val="21"/>
        </w:rPr>
      </w:pPr>
    </w:p>
    <w:p>
      <w:pPr>
        <w:rPr>
          <w:rFonts w:ascii="微软雅黑" w:hAnsi="微软雅黑" w:eastAsia="微软雅黑"/>
          <w:szCs w:val="21"/>
        </w:rPr>
      </w:pPr>
      <w:r>
        <w:rPr>
          <w:rFonts w:hint="eastAsia" w:ascii="微软雅黑" w:hAnsi="微软雅黑" w:eastAsia="微软雅黑" w:cs="方正仿宋_GBK"/>
          <w:szCs w:val="21"/>
        </w:rPr>
        <w:t>附件2：稳定就业证明</w:t>
      </w:r>
    </w:p>
    <w:p>
      <w:pPr>
        <w:jc w:val="center"/>
        <w:rPr>
          <w:rFonts w:ascii="微软雅黑" w:hAnsi="微软雅黑" w:eastAsia="微软雅黑"/>
          <w:szCs w:val="21"/>
        </w:rPr>
      </w:pPr>
      <w:r>
        <w:rPr>
          <w:rFonts w:hint="eastAsia" w:ascii="微软雅黑" w:hAnsi="微软雅黑" w:eastAsia="微软雅黑"/>
          <w:szCs w:val="21"/>
        </w:rPr>
        <w:t>稳定就业证明</w:t>
      </w:r>
    </w:p>
    <w:p>
      <w:pPr>
        <w:ind w:firstLine="420" w:firstLineChars="200"/>
        <w:rPr>
          <w:rFonts w:ascii="微软雅黑" w:hAnsi="微软雅黑" w:eastAsia="微软雅黑"/>
          <w:szCs w:val="21"/>
        </w:rPr>
      </w:pPr>
      <w:r>
        <w:rPr>
          <w:rFonts w:hint="eastAsia" w:ascii="微软雅黑" w:hAnsi="微软雅黑" w:eastAsia="微软雅黑"/>
          <w:szCs w:val="21"/>
        </w:rPr>
        <w:t>姓名</w:t>
      </w:r>
      <w:r>
        <w:rPr>
          <w:rFonts w:hint="eastAsia" w:ascii="微软雅黑" w:hAnsi="微软雅黑" w:eastAsia="微软雅黑"/>
          <w:szCs w:val="21"/>
          <w:u w:val="single"/>
        </w:rPr>
        <w:t xml:space="preserve">           </w:t>
      </w:r>
      <w:r>
        <w:rPr>
          <w:rFonts w:hint="eastAsia" w:ascii="微软雅黑" w:hAnsi="微软雅黑" w:eastAsia="微软雅黑"/>
          <w:szCs w:val="21"/>
        </w:rPr>
        <w:t>（身份证号：</w:t>
      </w:r>
      <w:r>
        <w:rPr>
          <w:rFonts w:hint="eastAsia" w:ascii="微软雅黑" w:hAnsi="微软雅黑" w:eastAsia="微软雅黑"/>
          <w:szCs w:val="21"/>
          <w:u w:val="single"/>
        </w:rPr>
        <w:t xml:space="preserve">                          </w:t>
      </w:r>
      <w:r>
        <w:rPr>
          <w:rFonts w:hint="eastAsia" w:ascii="微软雅黑" w:hAnsi="微软雅黑" w:eastAsia="微软雅黑"/>
          <w:szCs w:val="21"/>
        </w:rPr>
        <w:t>），系我单位工作人员。该同志自</w:t>
      </w:r>
      <w:r>
        <w:rPr>
          <w:rFonts w:hint="eastAsia" w:ascii="微软雅黑" w:hAnsi="微软雅黑" w:eastAsia="微软雅黑"/>
          <w:szCs w:val="21"/>
          <w:u w:val="single"/>
        </w:rPr>
        <w:t xml:space="preserve">     </w:t>
      </w:r>
      <w:r>
        <w:rPr>
          <w:rFonts w:hint="eastAsia" w:ascii="微软雅黑" w:hAnsi="微软雅黑" w:eastAsia="微软雅黑"/>
          <w:szCs w:val="21"/>
        </w:rPr>
        <w:t>年</w:t>
      </w:r>
      <w:r>
        <w:rPr>
          <w:rFonts w:hint="eastAsia" w:ascii="微软雅黑" w:hAnsi="微软雅黑" w:eastAsia="微软雅黑"/>
          <w:szCs w:val="21"/>
          <w:u w:val="single"/>
        </w:rPr>
        <w:t xml:space="preserve">     </w:t>
      </w:r>
      <w:r>
        <w:rPr>
          <w:rFonts w:hint="eastAsia" w:ascii="微软雅黑" w:hAnsi="微软雅黑" w:eastAsia="微软雅黑"/>
          <w:szCs w:val="21"/>
        </w:rPr>
        <w:t>月</w:t>
      </w:r>
      <w:r>
        <w:rPr>
          <w:rFonts w:hint="eastAsia" w:ascii="微软雅黑" w:hAnsi="微软雅黑" w:eastAsia="微软雅黑"/>
          <w:szCs w:val="21"/>
          <w:u w:val="single"/>
        </w:rPr>
        <w:t xml:space="preserve">      </w:t>
      </w:r>
      <w:r>
        <w:rPr>
          <w:rFonts w:hint="eastAsia" w:ascii="微软雅黑" w:hAnsi="微软雅黑" w:eastAsia="微软雅黑"/>
          <w:szCs w:val="21"/>
        </w:rPr>
        <w:t>日起在我单位位于</w:t>
      </w:r>
      <w:r>
        <w:rPr>
          <w:rFonts w:hint="eastAsia" w:ascii="微软雅黑" w:hAnsi="微软雅黑" w:eastAsia="微软雅黑"/>
          <w:szCs w:val="21"/>
          <w:u w:val="single"/>
        </w:rPr>
        <w:t xml:space="preserve">                                             （ 地址  ）</w:t>
      </w:r>
      <w:r>
        <w:rPr>
          <w:rFonts w:hint="eastAsia" w:ascii="微软雅黑" w:hAnsi="微软雅黑" w:eastAsia="微软雅黑"/>
          <w:szCs w:val="21"/>
        </w:rPr>
        <w:t>的办公地点连续稳定工作至今。如证明失实，本单位愿意承担由此带来的一切法律后果。</w:t>
      </w:r>
    </w:p>
    <w:p>
      <w:pPr>
        <w:ind w:firstLine="420" w:firstLineChars="200"/>
        <w:rPr>
          <w:rFonts w:ascii="微软雅黑" w:hAnsi="微软雅黑" w:eastAsia="微软雅黑"/>
          <w:szCs w:val="21"/>
        </w:rPr>
      </w:pPr>
      <w:r>
        <w:rPr>
          <w:rFonts w:hint="eastAsia" w:ascii="微软雅黑" w:hAnsi="微软雅黑" w:eastAsia="微软雅黑"/>
          <w:szCs w:val="21"/>
        </w:rPr>
        <w:t>特此证明。</w:t>
      </w:r>
    </w:p>
    <w:p>
      <w:pPr>
        <w:ind w:firstLine="420" w:firstLineChars="200"/>
        <w:rPr>
          <w:rFonts w:ascii="微软雅黑" w:hAnsi="微软雅黑" w:eastAsia="微软雅黑"/>
          <w:szCs w:val="21"/>
        </w:rPr>
      </w:pPr>
      <w:r>
        <w:rPr>
          <w:rFonts w:hint="eastAsia" w:ascii="微软雅黑" w:hAnsi="微软雅黑" w:eastAsia="微软雅黑"/>
          <w:szCs w:val="21"/>
        </w:rPr>
        <w:t>（此证明仅用于该工作人员购买住房进行限购审查）</w:t>
      </w:r>
    </w:p>
    <w:p>
      <w:pPr>
        <w:jc w:val="right"/>
        <w:rPr>
          <w:rFonts w:ascii="微软雅黑" w:hAnsi="微软雅黑" w:eastAsia="微软雅黑"/>
          <w:szCs w:val="21"/>
        </w:rPr>
      </w:pPr>
      <w:r>
        <w:rPr>
          <w:rFonts w:hint="eastAsia" w:ascii="微软雅黑" w:hAnsi="微软雅黑" w:eastAsia="微软雅黑"/>
          <w:szCs w:val="21"/>
        </w:rPr>
        <w:t>单位公章</w:t>
      </w:r>
    </w:p>
    <w:p>
      <w:pPr>
        <w:wordWrap w:val="0"/>
        <w:jc w:val="right"/>
        <w:rPr>
          <w:rFonts w:ascii="微软雅黑" w:hAnsi="微软雅黑" w:eastAsia="微软雅黑"/>
          <w:szCs w:val="21"/>
        </w:rPr>
      </w:pPr>
      <w:r>
        <w:rPr>
          <w:rFonts w:hint="eastAsia" w:ascii="微软雅黑" w:hAnsi="微软雅黑" w:eastAsia="微软雅黑"/>
          <w:szCs w:val="21"/>
          <w:u w:val="single"/>
        </w:rPr>
        <w:t xml:space="preserve">      </w:t>
      </w:r>
      <w:r>
        <w:rPr>
          <w:rFonts w:hint="eastAsia" w:ascii="微软雅黑" w:hAnsi="微软雅黑" w:eastAsia="微软雅黑"/>
          <w:szCs w:val="21"/>
        </w:rPr>
        <w:t>年</w:t>
      </w:r>
      <w:r>
        <w:rPr>
          <w:rFonts w:hint="eastAsia" w:ascii="微软雅黑" w:hAnsi="微软雅黑" w:eastAsia="微软雅黑"/>
          <w:szCs w:val="21"/>
          <w:u w:val="single"/>
        </w:rPr>
        <w:t xml:space="preserve">     </w:t>
      </w:r>
      <w:r>
        <w:rPr>
          <w:rFonts w:hint="eastAsia" w:ascii="微软雅黑" w:hAnsi="微软雅黑" w:eastAsia="微软雅黑"/>
          <w:szCs w:val="21"/>
        </w:rPr>
        <w:t>月</w:t>
      </w:r>
      <w:r>
        <w:rPr>
          <w:rFonts w:hint="eastAsia" w:ascii="微软雅黑" w:hAnsi="微软雅黑" w:eastAsia="微软雅黑"/>
          <w:szCs w:val="21"/>
          <w:u w:val="single"/>
        </w:rPr>
        <w:t xml:space="preserve">     </w:t>
      </w:r>
      <w:r>
        <w:rPr>
          <w:rFonts w:hint="eastAsia" w:ascii="微软雅黑" w:hAnsi="微软雅黑" w:eastAsia="微软雅黑"/>
          <w:szCs w:val="21"/>
        </w:rPr>
        <w:t>日</w:t>
      </w:r>
    </w:p>
    <w:p>
      <w:pPr>
        <w:rPr>
          <w:rFonts w:ascii="微软雅黑" w:hAnsi="微软雅黑" w:eastAsia="微软雅黑"/>
          <w:szCs w:val="21"/>
        </w:rPr>
      </w:pPr>
    </w:p>
    <w:p>
      <w:pPr>
        <w:ind w:right="320"/>
        <w:jc w:val="right"/>
        <w:rPr>
          <w:rFonts w:ascii="微软雅黑" w:hAnsi="微软雅黑" w:eastAsia="微软雅黑" w:cs="方正仿宋_GBK"/>
          <w:szCs w:val="21"/>
        </w:rPr>
      </w:pPr>
    </w:p>
    <w:p>
      <w:pPr>
        <w:ind w:right="160"/>
        <w:jc w:val="center"/>
        <w:rPr>
          <w:rFonts w:ascii="微软雅黑" w:hAnsi="微软雅黑" w:eastAsia="微软雅黑" w:cs="方正仿宋_GBK"/>
          <w:szCs w:val="21"/>
        </w:rPr>
      </w:pPr>
    </w:p>
    <w:p>
      <w:pPr>
        <w:ind w:right="160"/>
        <w:jc w:val="center"/>
        <w:rPr>
          <w:rFonts w:ascii="微软雅黑" w:hAnsi="微软雅黑" w:eastAsia="微软雅黑" w:cs="方正仿宋_GBK"/>
          <w:sz w:val="32"/>
          <w:szCs w:val="32"/>
        </w:rPr>
      </w:pPr>
    </w:p>
    <w:p>
      <w:pPr>
        <w:ind w:right="160"/>
        <w:jc w:val="center"/>
        <w:rPr>
          <w:rFonts w:ascii="微软雅黑" w:hAnsi="微软雅黑" w:eastAsia="微软雅黑" w:cs="方正仿宋_GBK"/>
          <w:sz w:val="32"/>
          <w:szCs w:val="32"/>
        </w:rPr>
      </w:pPr>
    </w:p>
    <w:p>
      <w:pPr>
        <w:ind w:right="160"/>
        <w:jc w:val="center"/>
        <w:rPr>
          <w:rFonts w:ascii="微软雅黑" w:hAnsi="微软雅黑" w:eastAsia="微软雅黑" w:cs="方正仿宋_GBK"/>
          <w:sz w:val="32"/>
          <w:szCs w:val="32"/>
        </w:rPr>
      </w:pPr>
    </w:p>
    <w:p>
      <w:pPr>
        <w:ind w:right="160"/>
        <w:jc w:val="center"/>
        <w:rPr>
          <w:rFonts w:ascii="微软雅黑" w:hAnsi="微软雅黑" w:eastAsia="微软雅黑" w:cs="方正仿宋_GBK"/>
          <w:sz w:val="32"/>
          <w:szCs w:val="32"/>
        </w:rPr>
      </w:pPr>
    </w:p>
    <w:p>
      <w:pPr>
        <w:ind w:right="160"/>
        <w:jc w:val="center"/>
        <w:rPr>
          <w:rFonts w:ascii="微软雅黑" w:hAnsi="微软雅黑" w:eastAsia="微软雅黑" w:cs="方正仿宋_GBK"/>
          <w:sz w:val="32"/>
          <w:szCs w:val="32"/>
        </w:rPr>
      </w:pPr>
    </w:p>
    <w:p>
      <w:pPr>
        <w:ind w:right="160"/>
        <w:jc w:val="center"/>
        <w:rPr>
          <w:rFonts w:ascii="微软雅黑" w:hAnsi="微软雅黑" w:eastAsia="微软雅黑" w:cs="方正仿宋_GBK"/>
          <w:sz w:val="32"/>
          <w:szCs w:val="32"/>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dit="readOnly" w:enforcement="1" w:cryptProviderType="rsaFull" w:cryptAlgorithmClass="hash" w:cryptAlgorithmType="typeAny" w:cryptAlgorithmSid="4" w:cryptSpinCount="0" w:hash="embXr2q3+R5yxLI6QrQitr+4eqw=" w:salt="wYE4LGxufISqcvZSvIuO6A=="/>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C12FE"/>
    <w:rsid w:val="000F49B1"/>
    <w:rsid w:val="001245A0"/>
    <w:rsid w:val="00141654"/>
    <w:rsid w:val="001B2551"/>
    <w:rsid w:val="002144C4"/>
    <w:rsid w:val="0023141D"/>
    <w:rsid w:val="002453EE"/>
    <w:rsid w:val="0025003B"/>
    <w:rsid w:val="0026137D"/>
    <w:rsid w:val="0026149F"/>
    <w:rsid w:val="00270176"/>
    <w:rsid w:val="002843DD"/>
    <w:rsid w:val="00284C2A"/>
    <w:rsid w:val="002B104E"/>
    <w:rsid w:val="002C0E5D"/>
    <w:rsid w:val="002D4A14"/>
    <w:rsid w:val="002E6EEB"/>
    <w:rsid w:val="0030572D"/>
    <w:rsid w:val="00322D3F"/>
    <w:rsid w:val="00324813"/>
    <w:rsid w:val="00350BD1"/>
    <w:rsid w:val="00364A26"/>
    <w:rsid w:val="003662DA"/>
    <w:rsid w:val="00370AED"/>
    <w:rsid w:val="00382598"/>
    <w:rsid w:val="003B38EC"/>
    <w:rsid w:val="003B66B9"/>
    <w:rsid w:val="003B7CB9"/>
    <w:rsid w:val="003C0DDD"/>
    <w:rsid w:val="003D5421"/>
    <w:rsid w:val="00417069"/>
    <w:rsid w:val="00417BE1"/>
    <w:rsid w:val="00431140"/>
    <w:rsid w:val="00444EF8"/>
    <w:rsid w:val="004803AB"/>
    <w:rsid w:val="004C51F4"/>
    <w:rsid w:val="004D2A16"/>
    <w:rsid w:val="004F5244"/>
    <w:rsid w:val="00512A4D"/>
    <w:rsid w:val="0052386E"/>
    <w:rsid w:val="005410B5"/>
    <w:rsid w:val="005541D5"/>
    <w:rsid w:val="00555E3A"/>
    <w:rsid w:val="00564717"/>
    <w:rsid w:val="00570A38"/>
    <w:rsid w:val="0058119C"/>
    <w:rsid w:val="00592C68"/>
    <w:rsid w:val="00593DBD"/>
    <w:rsid w:val="005B0CDD"/>
    <w:rsid w:val="005B49DE"/>
    <w:rsid w:val="00601B7F"/>
    <w:rsid w:val="006202ED"/>
    <w:rsid w:val="0062096E"/>
    <w:rsid w:val="00622BCE"/>
    <w:rsid w:val="0062507F"/>
    <w:rsid w:val="00655B8E"/>
    <w:rsid w:val="0068483C"/>
    <w:rsid w:val="00696A5B"/>
    <w:rsid w:val="006976D9"/>
    <w:rsid w:val="006F0929"/>
    <w:rsid w:val="00710ABB"/>
    <w:rsid w:val="00712958"/>
    <w:rsid w:val="00716FE9"/>
    <w:rsid w:val="007271DC"/>
    <w:rsid w:val="00736E3A"/>
    <w:rsid w:val="00755DA4"/>
    <w:rsid w:val="007A0B06"/>
    <w:rsid w:val="007C3C6A"/>
    <w:rsid w:val="007D2D98"/>
    <w:rsid w:val="007E28F2"/>
    <w:rsid w:val="007F3D72"/>
    <w:rsid w:val="008128C3"/>
    <w:rsid w:val="0083306B"/>
    <w:rsid w:val="0083797D"/>
    <w:rsid w:val="00844CB7"/>
    <w:rsid w:val="00860EBB"/>
    <w:rsid w:val="0088186A"/>
    <w:rsid w:val="008842FC"/>
    <w:rsid w:val="0089560D"/>
    <w:rsid w:val="008F727B"/>
    <w:rsid w:val="00907071"/>
    <w:rsid w:val="00920385"/>
    <w:rsid w:val="0092543B"/>
    <w:rsid w:val="0093259B"/>
    <w:rsid w:val="009444D4"/>
    <w:rsid w:val="0095178E"/>
    <w:rsid w:val="0098732E"/>
    <w:rsid w:val="0099767E"/>
    <w:rsid w:val="009A1D6B"/>
    <w:rsid w:val="009C4ACE"/>
    <w:rsid w:val="009E6C6D"/>
    <w:rsid w:val="00A07AAC"/>
    <w:rsid w:val="00A33F2D"/>
    <w:rsid w:val="00A37F0A"/>
    <w:rsid w:val="00A414C8"/>
    <w:rsid w:val="00A5120C"/>
    <w:rsid w:val="00A803E2"/>
    <w:rsid w:val="00AA08A0"/>
    <w:rsid w:val="00AA59D6"/>
    <w:rsid w:val="00AD2D58"/>
    <w:rsid w:val="00AF1E1B"/>
    <w:rsid w:val="00AF6107"/>
    <w:rsid w:val="00AF74FA"/>
    <w:rsid w:val="00B14BED"/>
    <w:rsid w:val="00B23F3A"/>
    <w:rsid w:val="00B27001"/>
    <w:rsid w:val="00B33B48"/>
    <w:rsid w:val="00B3455A"/>
    <w:rsid w:val="00B360CD"/>
    <w:rsid w:val="00B469B8"/>
    <w:rsid w:val="00B500E5"/>
    <w:rsid w:val="00B87C20"/>
    <w:rsid w:val="00BB11A9"/>
    <w:rsid w:val="00BD3C05"/>
    <w:rsid w:val="00BF5DC0"/>
    <w:rsid w:val="00C05AC1"/>
    <w:rsid w:val="00C30ECB"/>
    <w:rsid w:val="00C31968"/>
    <w:rsid w:val="00C33392"/>
    <w:rsid w:val="00C45C8C"/>
    <w:rsid w:val="00C519C5"/>
    <w:rsid w:val="00C5455B"/>
    <w:rsid w:val="00C60748"/>
    <w:rsid w:val="00CD3488"/>
    <w:rsid w:val="00CD4798"/>
    <w:rsid w:val="00D144D0"/>
    <w:rsid w:val="00D4244C"/>
    <w:rsid w:val="00D4687A"/>
    <w:rsid w:val="00D83C4D"/>
    <w:rsid w:val="00D85C13"/>
    <w:rsid w:val="00DA4EAB"/>
    <w:rsid w:val="00DD3114"/>
    <w:rsid w:val="00DE370A"/>
    <w:rsid w:val="00E048A4"/>
    <w:rsid w:val="00E14B76"/>
    <w:rsid w:val="00E22A10"/>
    <w:rsid w:val="00E22DAE"/>
    <w:rsid w:val="00E320EA"/>
    <w:rsid w:val="00E331A7"/>
    <w:rsid w:val="00E64BF6"/>
    <w:rsid w:val="00EA6779"/>
    <w:rsid w:val="00EB4EB7"/>
    <w:rsid w:val="00EB7DB6"/>
    <w:rsid w:val="00EC1564"/>
    <w:rsid w:val="00EF6707"/>
    <w:rsid w:val="00F1075E"/>
    <w:rsid w:val="00F82D38"/>
    <w:rsid w:val="00F83327"/>
    <w:rsid w:val="00FA7359"/>
    <w:rsid w:val="00FB7E89"/>
    <w:rsid w:val="00FD5794"/>
    <w:rsid w:val="00FE638C"/>
    <w:rsid w:val="0234321A"/>
    <w:rsid w:val="050E7CED"/>
    <w:rsid w:val="17DB6287"/>
    <w:rsid w:val="1D133231"/>
    <w:rsid w:val="28655D98"/>
    <w:rsid w:val="28E96A03"/>
    <w:rsid w:val="2B8500A1"/>
    <w:rsid w:val="2D392846"/>
    <w:rsid w:val="2E656597"/>
    <w:rsid w:val="3B30376C"/>
    <w:rsid w:val="40E0017C"/>
    <w:rsid w:val="495B19E7"/>
    <w:rsid w:val="4DC007DB"/>
    <w:rsid w:val="50330583"/>
    <w:rsid w:val="571E14A6"/>
    <w:rsid w:val="58D01815"/>
    <w:rsid w:val="635318DE"/>
    <w:rsid w:val="6B10084C"/>
    <w:rsid w:val="6F244D0C"/>
    <w:rsid w:val="701048D4"/>
    <w:rsid w:val="713F4B44"/>
    <w:rsid w:val="7664608F"/>
    <w:rsid w:val="76A30ECA"/>
    <w:rsid w:val="7FC40F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sz w:val="18"/>
      <w:szCs w:val="18"/>
    </w:rPr>
  </w:style>
  <w:style w:type="character" w:customStyle="1" w:styleId="13">
    <w:name w:val="日期 字符"/>
    <w:basedOn w:val="7"/>
    <w:link w:val="2"/>
    <w:semiHidden/>
    <w:qFormat/>
    <w:uiPriority w:val="99"/>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三盛</Company>
  <Pages>18</Pages>
  <Words>1431</Words>
  <Characters>8159</Characters>
  <Lines>67</Lines>
  <Paragraphs>19</Paragraphs>
  <ScaleCrop>false</ScaleCrop>
  <LinksUpToDate>false</LinksUpToDate>
  <CharactersWithSpaces>9571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2018-01-16T11:41:58Z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